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.000000000000004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1715.0" w:type="dxa"/>
            <w:jc w:val="left"/>
            <w:tblInd w:w="-160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1715"/>
            <w:tblGridChange w:id="0">
              <w:tblGrid>
                <w:gridCol w:w="11715"/>
              </w:tblGrid>
            </w:tblGridChange>
          </w:tblGrid>
          <w:tr>
            <w:trPr>
              <w:cantSplit w:val="0"/>
              <w:trHeight w:val="624.90234375" w:hRule="atLeast"/>
              <w:tblHeader w:val="0"/>
            </w:trPr>
            <w:tc>
              <w:tcPr>
                <w:tcBorders>
                  <w:top w:color="f3f3f3" w:space="0" w:sz="8" w:val="single"/>
                  <w:left w:color="f3f3f3" w:space="0" w:sz="8" w:val="single"/>
                  <w:bottom w:color="f3f3f3" w:space="0" w:sz="8" w:val="single"/>
                  <w:right w:color="f3f3f3" w:space="0" w:sz="8" w:val="single"/>
                </w:tcBorders>
                <w:shd w:fill="e1edf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widowControl w:val="0"/>
                  <w:jc w:val="center"/>
                  <w:rPr>
                    <w:rFonts w:ascii="Century Gothic" w:cs="Century Gothic" w:eastAsia="Century Gothic" w:hAnsi="Century Gothic"/>
                    <w:b w:val="1"/>
                    <w:color w:val="00346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b w:val="1"/>
                    <w:color w:val="003461"/>
                    <w:sz w:val="28"/>
                    <w:szCs w:val="28"/>
                    <w:rtl w:val="0"/>
                  </w:rPr>
                  <w:t xml:space="preserve">Programa dos Cursos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3f3f3" w:space="0" w:sz="8" w:val="single"/>
                  <w:left w:color="f3f3f3" w:space="0" w:sz="8" w:val="single"/>
                  <w:bottom w:color="f3f3f3" w:space="0" w:sz="8" w:val="single"/>
                  <w:right w:color="f3f3f3" w:space="0" w:sz="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widowControl w:val="0"/>
                  <w:ind w:left="0" w:firstLine="0"/>
                  <w:jc w:val="center"/>
                  <w:rPr>
                    <w:rFonts w:ascii="Century Gothic" w:cs="Century Gothic" w:eastAsia="Century Gothic" w:hAnsi="Century Gothic"/>
                    <w:color w:val="00346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entury Gothic" w:cs="Century Gothic" w:eastAsia="Century Gothic" w:hAnsi="Century Gothic"/>
                    <w:color w:val="003461"/>
                    <w:sz w:val="26"/>
                    <w:szCs w:val="26"/>
                    <w:rtl w:val="0"/>
                  </w:rPr>
                  <w:t xml:space="preserve">1º semestre de 2025</w:t>
                </w:r>
              </w:p>
            </w:tc>
          </w:tr>
        </w:tbl>
      </w:sdtContent>
    </w:sdt>
    <w:p w:rsidR="00000000" w:rsidDel="00000000" w:rsidP="00000000" w:rsidRDefault="00000000" w:rsidRPr="00000000" w14:paraId="00000004">
      <w:pPr>
        <w:widowControl w:val="0"/>
        <w:jc w:val="left"/>
        <w:rPr>
          <w:rFonts w:ascii="Arial" w:cs="Arial" w:eastAsia="Arial" w:hAnsi="Arial"/>
          <w:b w:val="1"/>
          <w:color w:val="002060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-1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0"/>
        <w:gridCol w:w="6810"/>
        <w:tblGridChange w:id="0">
          <w:tblGrid>
            <w:gridCol w:w="4170"/>
            <w:gridCol w:w="6810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e1edf7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Título do Curso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e1edf7" w:val="clear"/>
          </w:tcPr>
          <w:p w:rsidR="00000000" w:rsidDel="00000000" w:rsidP="00000000" w:rsidRDefault="00000000" w:rsidRPr="00000000" w14:paraId="00000006">
            <w:pPr>
              <w:spacing w:after="200" w:lineRule="auto"/>
              <w:jc w:val="center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Práticas de leitura 2: gêneros acadêmicos em Língua Francesa</w:t>
            </w:r>
          </w:p>
          <w:p w:rsidR="00000000" w:rsidDel="00000000" w:rsidP="00000000" w:rsidRDefault="00000000" w:rsidRPr="00000000" w14:paraId="00000007">
            <w:pPr>
              <w:spacing w:after="200" w:lineRule="auto"/>
              <w:jc w:val="center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(modalidade on-line)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Apresentação do Curso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O Centro Interdepartamental de Línguas da FFLCH desenvolveu, ao longo de sua história, cursos de leitura em línguas estrangeiras para a comunidade USP e para o público externo visando ao desenvolvimento da competência leitora para a compreensão de textos que circulam no meio acadêmico. Se no início das ofertas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denominávamos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 estes cursos como línguas estrangeiras instrumentais, em francês, “Francês Instrumental”, com o advento da Internet e o uso de tecnologias, as competências de leitura se transformaram e o leitor, diferentemente do acesso anterior que tinha somente ao texto impresso, passa a utilizar estratégias multimodais para desenvolver sua competência leitora.</w:t>
            </w:r>
          </w:p>
          <w:p w:rsidR="00000000" w:rsidDel="00000000" w:rsidP="00000000" w:rsidRDefault="00000000" w:rsidRPr="00000000" w14:paraId="0000000A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Assim, passamos a utilizar a denominação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“Práticas de leitura em Francês” para compreender esse novo contexto de formação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. As várias situações de leitura, em papel e/ou na tela alteram a metodologia de ensino para o desenvolvimento de estratégias de leitura e novas maneiras de ensinar e aprender se colocam em prática. O desenvolvimento de competências leitoras no meio universitário é cada vez mais exigido e os estudantes são levados a ler textos originais de suas áreas de conhecimento.</w:t>
            </w:r>
          </w:p>
          <w:p w:rsidR="00000000" w:rsidDel="00000000" w:rsidP="00000000" w:rsidRDefault="00000000" w:rsidRPr="00000000" w14:paraId="0000000B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Assim, apoiando-nos nos estudos de especialistas na área, esse curso tem por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objetivos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1)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 Desenvolver as competências leitoras em francês de gêneros acadêmicos que circulam no meio universitário;</w:t>
            </w:r>
          </w:p>
          <w:p w:rsidR="00000000" w:rsidDel="00000000" w:rsidP="00000000" w:rsidRDefault="00000000" w:rsidRPr="00000000" w14:paraId="0000000D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2)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 Desenvolver estratégias de leitura para a leitura de gêneros acadêmicos;</w:t>
            </w:r>
          </w:p>
          <w:p w:rsidR="00000000" w:rsidDel="00000000" w:rsidP="00000000" w:rsidRDefault="00000000" w:rsidRPr="00000000" w14:paraId="0000000E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3)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 Sistematizar os conhecimentos discursivos e linguísticos por meio de fichas de leitura e de gramática visando à autonomia dos leitores.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Docente Responsável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Profa. Dra. Heloisa Brito de Albuquerque Costa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Nº USP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760749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Ministrante(s)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252"/>
              </w:tabs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Profa. Regiane Alves Miranda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Público-alvo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Estudantes universitários em geral.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Carga horária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200" w:before="200" w:line="48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15 horas (1h30 por encontro – 10 semanas)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345"/>
              </w:tabs>
              <w:spacing w:after="0"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Modalidade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200" w:before="200" w:line="480" w:lineRule="auto"/>
              <w:jc w:val="both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A distância e remoto – Google Meet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Período de oferecimento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05/04 a 28/06/2025</w:t>
            </w:r>
          </w:p>
          <w:p w:rsidR="00000000" w:rsidDel="00000000" w:rsidP="00000000" w:rsidRDefault="00000000" w:rsidRPr="00000000" w14:paraId="0000001D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Sábados, 10h às 11h30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Objetivos Gerais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200" w:before="200" w:lineRule="auto"/>
              <w:ind w:left="720" w:hanging="360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Desenvolver a compreensão leitora em língua francesa de textos de gêneros acadêmicos</w:t>
            </w:r>
          </w:p>
        </w:tc>
      </w:tr>
      <w:tr>
        <w:trPr>
          <w:cantSplit w:val="0"/>
          <w:trHeight w:val="4110" w:hRule="atLeast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Objetivos Específicos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0" w:before="200" w:lineRule="auto"/>
              <w:ind w:left="720" w:hanging="360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Identificar as características de cada gênero estudado;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Mobilizar as estratégias de leitura em língua materna;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Compreender e desenvolver as estratégias para leitura de textos em língua francesa;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Praticar as estratégias de leitura e sistematizar os conhecimentos linguísticos da língua francesa por meio da elaboração de fichas de leitura e de gramática;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0" w:lineRule="auto"/>
              <w:ind w:left="720" w:hanging="360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Promover a autonomia do leitor para a leitura de textos em língua francesa.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Justificativa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O curso se justifica devido à imersão de leitura à qual nos dias atuais estamos confrontados pela internet e à crescente demanda de leitura de textos originais em língua francesa presentes no meio universitário. Além disso, o curso está inserido no contexto de formação de professores de francês que se interessam em aprofundar seus estudos na área.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Conteúdo Programático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 Estratégias de leitura em língua materna e língua estrangeira – mobilização de saberes e competências;</w:t>
            </w:r>
          </w:p>
          <w:p w:rsidR="00000000" w:rsidDel="00000000" w:rsidP="00000000" w:rsidRDefault="00000000" w:rsidRPr="00000000" w14:paraId="0000002A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 Identificação das características linguístico-discursivas de cada gênero estudado;</w:t>
            </w:r>
          </w:p>
          <w:p w:rsidR="00000000" w:rsidDel="00000000" w:rsidP="00000000" w:rsidRDefault="00000000" w:rsidRPr="00000000" w14:paraId="0000002B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 Promover a autonomia do leitor para a leitura de textos acadêmicos em língua francesa.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Metodologia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200" w:before="200" w:lineRule="auto"/>
              <w:ind w:left="0" w:firstLine="0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A metodologia adotada será exposição dialogada, trabalhos em pequenos grupos e atividades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Avaliação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-72"/>
              </w:tabs>
              <w:spacing w:after="200" w:before="200" w:lineRule="auto"/>
              <w:ind w:left="0" w:firstLine="0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A avaliação do curso será feita por meio da participação e da realização de atividades.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Critérios para aprovação 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200" w:before="200" w:lineRule="auto"/>
              <w:ind w:left="0" w:firstLine="0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Os participantes devem obter a nota mínima 7,0 para aprovação no curso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Frequência mínima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75%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Oferecimento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Pelo Google Meet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Número de vagas por turma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25 vagas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Pré-Requisitos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Apresentar o comprovante de matrícula em um curso universitário.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Teste de nível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O teste de nível será feito em data a ser definida na modalidade on-line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Bibliografia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ALBUQUERQUE-COSTA, H. Um ensino específico da leitura: o ensino instrumental, in O ensino instrumental de línguas estrangeiras, Caderno do Centro de Línguas nº 3, Humanitas, 2000, p. 63-71.</w:t>
            </w:r>
          </w:p>
          <w:p w:rsidR="00000000" w:rsidDel="00000000" w:rsidP="00000000" w:rsidRDefault="00000000" w:rsidRPr="00000000" w14:paraId="0000003E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CORNAIRE, C. Le point sur la lecture. Paris : CLE International, 1999.</w:t>
            </w:r>
          </w:p>
          <w:p w:rsidR="00000000" w:rsidDel="00000000" w:rsidP="00000000" w:rsidRDefault="00000000" w:rsidRPr="00000000" w14:paraId="0000003F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COSTE D. Leitura e competência comunicativa. In GALVES, C.; ORLANDI, E.; OTONI P. (org). O Texto: leitura e escrita. 3ª ed. Revisada. Campinas, SP: Pontes, 2002, p. 11-30.</w:t>
            </w:r>
          </w:p>
          <w:p w:rsidR="00000000" w:rsidDel="00000000" w:rsidP="00000000" w:rsidRDefault="00000000" w:rsidRPr="00000000" w14:paraId="00000040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MALHEIROS POULET M.-E., DEGACHE C., MASPERI M. (1994), « L’activité de compréhension écrite en langues voisines (domaine des langues romanes) : stratégies d’accès au sens de textes narratifs », in J.-C. Pochard (éd.) Actes du IXe colloque international “Acquisition d’une langue étrangère :  perspectives et recherches. Profils d’apprenants”, Publications de l’Université de Saint-Etienne, 335-350. Em : </w:t>
            </w: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2"/>
                  <w:szCs w:val="22"/>
                  <w:u w:val="single"/>
                  <w:rtl w:val="0"/>
                </w:rPr>
                <w:t xml:space="preserve">www.galanet.eu/publication/fichiers/mp-dc-mm1994.pdf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PIETRARÓIA C.M.C. Percursos de Leitura : Léxico e construção de sentido na leitura em língua estrangeira. São Paulo: Annablume, 1997.</w:t>
            </w:r>
          </w:p>
          <w:p w:rsidR="00000000" w:rsidDel="00000000" w:rsidP="00000000" w:rsidRDefault="00000000" w:rsidRPr="00000000" w14:paraId="00000042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PIETRARÓIA, C.M.C. Questões de Leitura : Aspectos práticos e teóricos da leitura em Francês Língua Estrangeira. São Paulo: Annablume, 2001.</w:t>
            </w:r>
          </w:p>
          <w:p w:rsidR="00000000" w:rsidDel="00000000" w:rsidP="00000000" w:rsidRDefault="00000000" w:rsidRPr="00000000" w14:paraId="00000043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PIETRARÓIA, C.M.C; ALBUQUERQUE-COSTA, H. Leitura (s) em francês língua estrangeira. [S.l: s.n.], 2014.</w:t>
            </w:r>
          </w:p>
          <w:p w:rsidR="00000000" w:rsidDel="00000000" w:rsidP="00000000" w:rsidRDefault="00000000" w:rsidRPr="00000000" w14:paraId="00000044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KLEIMAN, A. Oficina de leitura: teoria e prática. 10ª Edição, Campinas, SP. Pontes, 2004.</w:t>
            </w:r>
          </w:p>
          <w:p w:rsidR="00000000" w:rsidDel="00000000" w:rsidP="00000000" w:rsidRDefault="00000000" w:rsidRPr="00000000" w14:paraId="00000045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Bibliografia Complementar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Dicionários Online:</w:t>
            </w:r>
          </w:p>
          <w:p w:rsidR="00000000" w:rsidDel="00000000" w:rsidP="00000000" w:rsidRDefault="00000000" w:rsidRPr="00000000" w14:paraId="00000048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https://www.cnrtl.fr/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00" w:before="200" w:lineRule="auto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https://www.larousse.fr/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leader="none" w:pos="345"/>
              </w:tabs>
              <w:spacing w:before="200" w:line="480" w:lineRule="auto"/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3461"/>
                <w:sz w:val="22"/>
                <w:szCs w:val="22"/>
                <w:rtl w:val="0"/>
              </w:rPr>
              <w:t xml:space="preserve">Informação Relevante</w:t>
            </w:r>
          </w:p>
        </w:tc>
        <w:tc>
          <w:tcPr>
            <w:tcBorders>
              <w:top w:color="badaf6" w:space="0" w:sz="4" w:val="single"/>
              <w:left w:color="badaf6" w:space="0" w:sz="4" w:val="single"/>
              <w:bottom w:color="badaf6" w:space="0" w:sz="4" w:val="single"/>
              <w:right w:color="badaf6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200" w:before="200" w:lineRule="auto"/>
              <w:jc w:val="both"/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3461"/>
                <w:sz w:val="22"/>
                <w:szCs w:val="22"/>
                <w:rtl w:val="0"/>
              </w:rPr>
              <w:t xml:space="preserve">O curso será ministrado em português, na modalidade on-line e o material didático será disponibilizado em língua francesa durante as aulas.</w:t>
            </w:r>
          </w:p>
        </w:tc>
      </w:tr>
    </w:tbl>
    <w:p w:rsidR="00000000" w:rsidDel="00000000" w:rsidP="00000000" w:rsidRDefault="00000000" w:rsidRPr="00000000" w14:paraId="0000004C">
      <w:pPr>
        <w:spacing w:after="200" w:line="276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0" w:top="0" w:left="1701" w:right="860.6692913385831" w:header="2310" w:footer="14.9999999999992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>
        <w:rFonts w:ascii="Century Gothic" w:cs="Century Gothic" w:eastAsia="Century Gothic" w:hAnsi="Century Gothic"/>
        <w:color w:val="003166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color w:val="003166"/>
        <w:sz w:val="20"/>
        <w:szCs w:val="20"/>
        <w:rtl w:val="0"/>
      </w:rPr>
      <w:t xml:space="preserve">Av. Prof. Lineu Prestes, 159 - Cidade Universitária, São Paulo - SP</w:t>
    </w:r>
  </w:p>
  <w:p w:rsidR="00000000" w:rsidDel="00000000" w:rsidP="00000000" w:rsidRDefault="00000000" w:rsidRPr="00000000" w14:paraId="00000050">
    <w:pPr>
      <w:jc w:val="right"/>
      <w:rPr>
        <w:rFonts w:ascii="Century Gothic" w:cs="Century Gothic" w:eastAsia="Century Gothic" w:hAnsi="Century Gothic"/>
        <w:color w:val="003166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color w:val="003166"/>
        <w:sz w:val="20"/>
        <w:szCs w:val="20"/>
        <w:rtl w:val="0"/>
      </w:rPr>
      <w:t xml:space="preserve">Casa de Cultura Japonesa, Sala 5 (CEP: 05508-000)</w:t>
    </w:r>
  </w:p>
  <w:p w:rsidR="00000000" w:rsidDel="00000000" w:rsidP="00000000" w:rsidRDefault="00000000" w:rsidRPr="00000000" w14:paraId="00000051">
    <w:pPr>
      <w:jc w:val="right"/>
      <w:rPr>
        <w:rFonts w:ascii="Century Gothic" w:cs="Century Gothic" w:eastAsia="Century Gothic" w:hAnsi="Century Gothic"/>
        <w:color w:val="003166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003166"/>
        <w:sz w:val="20"/>
        <w:szCs w:val="20"/>
        <w:rtl w:val="0"/>
      </w:rPr>
      <w:t xml:space="preserve">Site:</w:t>
    </w:r>
    <w:r w:rsidDel="00000000" w:rsidR="00000000" w:rsidRPr="00000000">
      <w:rPr>
        <w:rFonts w:ascii="Century Gothic" w:cs="Century Gothic" w:eastAsia="Century Gothic" w:hAnsi="Century Gothic"/>
        <w:color w:val="003166"/>
        <w:sz w:val="20"/>
        <w:szCs w:val="20"/>
        <w:rtl w:val="0"/>
      </w:rPr>
      <w:t xml:space="preserve"> www.clinguas.fflch.usp.br</w:t>
    </w:r>
  </w:p>
  <w:p w:rsidR="00000000" w:rsidDel="00000000" w:rsidP="00000000" w:rsidRDefault="00000000" w:rsidRPr="00000000" w14:paraId="00000052">
    <w:pPr>
      <w:jc w:val="right"/>
      <w:rPr>
        <w:rFonts w:ascii="Century Gothic" w:cs="Century Gothic" w:eastAsia="Century Gothic" w:hAnsi="Century Gothic"/>
        <w:color w:val="003166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003166"/>
        <w:sz w:val="20"/>
        <w:szCs w:val="20"/>
        <w:rtl w:val="0"/>
      </w:rPr>
      <w:t xml:space="preserve">E-mail:</w:t>
    </w:r>
    <w:r w:rsidDel="00000000" w:rsidR="00000000" w:rsidRPr="00000000">
      <w:rPr>
        <w:rFonts w:ascii="Century Gothic" w:cs="Century Gothic" w:eastAsia="Century Gothic" w:hAnsi="Century Gothic"/>
        <w:color w:val="003166"/>
        <w:sz w:val="20"/>
        <w:szCs w:val="20"/>
        <w:rtl w:val="0"/>
      </w:rPr>
      <w:t xml:space="preserve"> clinguas@usp.br </w:t>
    </w:r>
  </w:p>
  <w:p w:rsidR="00000000" w:rsidDel="00000000" w:rsidP="00000000" w:rsidRDefault="00000000" w:rsidRPr="00000000" w14:paraId="00000053">
    <w:pPr>
      <w:jc w:val="right"/>
      <w:rPr>
        <w:rFonts w:ascii="Century Gothic" w:cs="Century Gothic" w:eastAsia="Century Gothic" w:hAnsi="Century Gothic"/>
        <w:color w:val="003166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003166"/>
        <w:sz w:val="20"/>
        <w:szCs w:val="20"/>
        <w:rtl w:val="0"/>
      </w:rPr>
      <w:t xml:space="preserve">Tel:</w:t>
    </w:r>
    <w:r w:rsidDel="00000000" w:rsidR="00000000" w:rsidRPr="00000000">
      <w:rPr>
        <w:rFonts w:ascii="Century Gothic" w:cs="Century Gothic" w:eastAsia="Century Gothic" w:hAnsi="Century Gothic"/>
        <w:color w:val="003166"/>
        <w:sz w:val="20"/>
        <w:szCs w:val="20"/>
        <w:rtl w:val="0"/>
      </w:rPr>
      <w:t xml:space="preserve"> (11) 3091-2416</w:t>
    </w:r>
  </w:p>
  <w:p w:rsidR="00000000" w:rsidDel="00000000" w:rsidP="00000000" w:rsidRDefault="00000000" w:rsidRPr="00000000" w14:paraId="00000054">
    <w:pPr>
      <w:jc w:val="center"/>
      <w:rPr>
        <w:rFonts w:ascii="Century Gothic" w:cs="Century Gothic" w:eastAsia="Century Gothic" w:hAnsi="Century Gothic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-647692</wp:posOffset>
          </wp:positionH>
          <wp:positionV relativeFrom="paragraph">
            <wp:posOffset>-1181091</wp:posOffset>
          </wp:positionV>
          <wp:extent cx="1862395" cy="757238"/>
          <wp:effectExtent b="0" l="0" r="0" t="0"/>
          <wp:wrapSquare wrapText="bothSides" distB="114300" distT="114300" distL="114300" distR="11430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2395" cy="7572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4257675</wp:posOffset>
          </wp:positionH>
          <wp:positionV relativeFrom="paragraph">
            <wp:posOffset>-1181091</wp:posOffset>
          </wp:positionV>
          <wp:extent cx="1744545" cy="570942"/>
          <wp:effectExtent b="0" l="0" r="0" t="0"/>
          <wp:wrapSquare wrapText="bothSides" distB="114300" distT="114300" distL="114300" distR="114300"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545" cy="5709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1987544</wp:posOffset>
          </wp:positionH>
          <wp:positionV relativeFrom="paragraph">
            <wp:posOffset>-1181091</wp:posOffset>
          </wp:positionV>
          <wp:extent cx="1234717" cy="814388"/>
          <wp:effectExtent b="0" l="0" r="0" t="0"/>
          <wp:wrapSquare wrapText="bothSides" distB="114300" distT="114300" distL="114300" distR="114300"/>
          <wp:docPr id="3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4717" cy="8143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cnrtl.f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alanet.eu/publication/fichiers/mp-dc-mm1994.pdf" TargetMode="External"/><Relationship Id="rId8" Type="http://schemas.openxmlformats.org/officeDocument/2006/relationships/hyperlink" Target="https://www.cnrtl.f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CaRckxx79DistaLi33WA9Elhg==">CgMxLjAaHwoBMBIaChgICVIUChJ0YWJsZS40cmgzM3Bkcm1ydzgyCGguZ2pkZ3hzMgloLjMwajB6bGw4AHIhMUZoVmdQUEM3LVNlaENQSUMtQkNXS3RhVUs0RDMxWVM3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