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5F74" w:rsidRPr="00A07961" w:rsidRDefault="00275F74">
      <w:pPr>
        <w:rPr>
          <w:rFonts w:asciiTheme="minorHAnsi" w:eastAsia="Calibri" w:hAnsiTheme="minorHAnsi" w:cs="Calibri"/>
          <w:b/>
          <w:i/>
          <w:color w:val="BB153D"/>
          <w:sz w:val="38"/>
          <w:szCs w:val="38"/>
        </w:rPr>
      </w:pPr>
    </w:p>
    <w:p w:rsidR="00275F74" w:rsidRPr="00A07961" w:rsidRDefault="006D23CD">
      <w:pPr>
        <w:jc w:val="center"/>
        <w:rPr>
          <w:rFonts w:asciiTheme="minorHAnsi" w:eastAsia="Lexend" w:hAnsiTheme="minorHAnsi" w:cs="Lexend"/>
          <w:b/>
          <w:color w:val="002060"/>
          <w:sz w:val="40"/>
          <w:szCs w:val="40"/>
        </w:rPr>
      </w:pPr>
      <w:r w:rsidRPr="00A07961">
        <w:rPr>
          <w:rFonts w:asciiTheme="minorHAnsi" w:eastAsia="Lexend" w:hAnsiTheme="minorHAnsi" w:cs="Lexend"/>
          <w:b/>
          <w:color w:val="002060"/>
          <w:sz w:val="40"/>
          <w:szCs w:val="40"/>
        </w:rPr>
        <w:t>Programa de Oficina/Palestra/Evento</w:t>
      </w:r>
    </w:p>
    <w:p w:rsidR="00275F74" w:rsidRPr="00A07961" w:rsidRDefault="00275F74">
      <w:pPr>
        <w:jc w:val="center"/>
        <w:rPr>
          <w:rFonts w:asciiTheme="minorHAnsi" w:eastAsia="Calibri" w:hAnsiTheme="minorHAnsi" w:cs="Calibri"/>
          <w:b/>
          <w:sz w:val="40"/>
          <w:szCs w:val="40"/>
        </w:rPr>
      </w:pPr>
    </w:p>
    <w:p w:rsidR="00275F74" w:rsidRPr="00A07961" w:rsidRDefault="006D23CD">
      <w:pPr>
        <w:pStyle w:val="Ttulo1"/>
        <w:ind w:left="-141"/>
        <w:rPr>
          <w:rFonts w:asciiTheme="minorHAnsi" w:eastAsia="Lexend" w:hAnsiTheme="minorHAnsi" w:cs="Lexend"/>
          <w:color w:val="000000"/>
          <w:sz w:val="22"/>
          <w:szCs w:val="22"/>
        </w:rPr>
      </w:pPr>
      <w:bookmarkStart w:id="0" w:name="_heading=h.98qgtpkvfe8t" w:colFirst="0" w:colLast="0"/>
      <w:bookmarkEnd w:id="0"/>
      <w:r w:rsidRPr="00A07961">
        <w:rPr>
          <w:rFonts w:asciiTheme="minorHAnsi" w:hAnsiTheme="minorHAnsi"/>
        </w:rPr>
        <w:t>1. Dados da Oficina/Palestra/Evento</w:t>
      </w:r>
    </w:p>
    <w:tbl>
      <w:tblPr>
        <w:tblStyle w:val="a5"/>
        <w:tblW w:w="9255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275F74" w:rsidRPr="00A07961">
        <w:trPr>
          <w:trHeight w:val="375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N</w:t>
            </w:r>
            <w:r w:rsidRPr="00A07961">
              <w:rPr>
                <w:rFonts w:asciiTheme="minorHAnsi" w:eastAsia="Lexend" w:hAnsiTheme="minorHAnsi" w:cs="Lexend"/>
                <w:b/>
              </w:rPr>
              <w:t>ome da oficina</w:t>
            </w: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: </w:t>
            </w:r>
            <w:r w:rsidR="005160DB" w:rsidRPr="00A07961">
              <w:rPr>
                <w:rFonts w:asciiTheme="minorHAnsi" w:hAnsiTheme="minorHAnsi" w:cstheme="majorHAnsi"/>
                <w:b/>
                <w:sz w:val="28"/>
                <w:szCs w:val="28"/>
              </w:rPr>
              <w:t>Avaliação de Leitura em língua estrangeira: critérios para escolha de textos  e tipos de questões</w:t>
            </w:r>
          </w:p>
        </w:tc>
      </w:tr>
      <w:tr w:rsidR="00275F74" w:rsidRPr="00A07961">
        <w:trPr>
          <w:trHeight w:val="36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t>Apresentação sucinta:</w:t>
            </w:r>
            <w:r w:rsidR="00A07961" w:rsidRPr="00A07961">
              <w:rPr>
                <w:rFonts w:asciiTheme="minorHAnsi" w:eastAsia="Lexend" w:hAnsiTheme="minorHAnsi" w:cs="Lexend"/>
                <w:b/>
              </w:rPr>
              <w:t xml:space="preserve"> </w:t>
            </w:r>
            <w:r w:rsidR="00A07961" w:rsidRPr="00A07961">
              <w:rPr>
                <w:rFonts w:asciiTheme="minorHAnsi" w:hAnsiTheme="minorHAnsi"/>
              </w:rPr>
              <w:br/>
            </w:r>
            <w:r w:rsidR="00A07961" w:rsidRPr="00A07961">
              <w:rPr>
                <w:rFonts w:asciiTheme="minorHAnsi" w:hAnsiTheme="minorHAnsi" w:cs="Segoe UI"/>
                <w:b/>
                <w:color w:val="0D0D0D"/>
                <w:shd w:val="clear" w:color="auto" w:fill="FFFFFF"/>
              </w:rPr>
              <w:t>O curso aborda conceitos teóricos, seleção de textos, critérios de escolha, formato de múltipla escolha, elementos constitutivos, análise e elaboração de itens para testes de compreensão de leitura.</w:t>
            </w:r>
          </w:p>
        </w:tc>
      </w:tr>
      <w:tr w:rsidR="00275F74" w:rsidRPr="00A07961">
        <w:trPr>
          <w:trHeight w:val="36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t>Coordenado</w:t>
            </w: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r responsável: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 Rodrigo Rosa</w:t>
            </w:r>
          </w:p>
        </w:tc>
      </w:tr>
      <w:tr w:rsidR="00275F74" w:rsidRPr="00A07961">
        <w:trPr>
          <w:trHeight w:val="39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Ministrante: 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>Nívia Marcello</w:t>
            </w:r>
          </w:p>
        </w:tc>
      </w:tr>
      <w:tr w:rsidR="00275F74" w:rsidRPr="00A07961">
        <w:trPr>
          <w:trHeight w:val="390"/>
        </w:trPr>
        <w:tc>
          <w:tcPr>
            <w:tcW w:w="9255" w:type="dxa"/>
            <w:vAlign w:val="center"/>
          </w:tcPr>
          <w:p w:rsidR="00275F74" w:rsidRPr="00A07961" w:rsidRDefault="006D23CD" w:rsidP="00F6149E">
            <w:pPr>
              <w:rPr>
                <w:rFonts w:asciiTheme="minorHAnsi" w:eastAsia="Lexend" w:hAnsiTheme="minorHAnsi" w:cs="Lexend"/>
                <w:color w:val="000000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D</w:t>
            </w:r>
            <w:r w:rsidRPr="00A07961">
              <w:rPr>
                <w:rFonts w:asciiTheme="minorHAnsi" w:eastAsia="Lexend" w:hAnsiTheme="minorHAnsi" w:cs="Lexend"/>
                <w:b/>
              </w:rPr>
              <w:t>at</w:t>
            </w: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as e horário:</w:t>
            </w:r>
            <w:r w:rsidRPr="00A07961">
              <w:rPr>
                <w:rFonts w:asciiTheme="minorHAnsi" w:eastAsia="Lexend" w:hAnsiTheme="minorHAnsi" w:cs="Lexend"/>
                <w:color w:val="000000"/>
              </w:rPr>
              <w:t xml:space="preserve"> </w:t>
            </w:r>
            <w:r w:rsidR="005160DB" w:rsidRPr="00A07961">
              <w:rPr>
                <w:rFonts w:asciiTheme="minorHAnsi" w:eastAsia="Lexend" w:hAnsiTheme="minorHAnsi" w:cs="Lexend"/>
                <w:color w:val="000000"/>
              </w:rPr>
              <w:t>2</w:t>
            </w:r>
            <w:r w:rsidR="00F6149E">
              <w:rPr>
                <w:rFonts w:asciiTheme="minorHAnsi" w:eastAsia="Lexend" w:hAnsiTheme="minorHAnsi" w:cs="Lexend"/>
                <w:color w:val="000000"/>
              </w:rPr>
              <w:t>0</w:t>
            </w:r>
            <w:r w:rsidR="005160DB" w:rsidRPr="00A07961">
              <w:rPr>
                <w:rFonts w:asciiTheme="minorHAnsi" w:eastAsia="Lexend" w:hAnsiTheme="minorHAnsi" w:cs="Lexend"/>
                <w:color w:val="000000"/>
              </w:rPr>
              <w:t xml:space="preserve"> de maio, das 14h às 16h</w:t>
            </w:r>
          </w:p>
        </w:tc>
      </w:tr>
      <w:tr w:rsidR="00275F74" w:rsidRPr="00A07961">
        <w:trPr>
          <w:trHeight w:val="39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Carga horária total: 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>02 horas</w:t>
            </w:r>
          </w:p>
        </w:tc>
      </w:tr>
      <w:tr w:rsidR="00275F74" w:rsidRPr="00A07961">
        <w:trPr>
          <w:trHeight w:val="435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Nº de vagas:</w:t>
            </w:r>
            <w:r w:rsidR="00A07961"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 10</w:t>
            </w:r>
          </w:p>
        </w:tc>
      </w:tr>
      <w:tr w:rsidR="00275F74" w:rsidRPr="00A07961">
        <w:trPr>
          <w:trHeight w:val="112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t xml:space="preserve">Modalidade:  </w:t>
            </w:r>
          </w:p>
          <w:p w:rsidR="00275F74" w:rsidRPr="00A07961" w:rsidRDefault="006D23CD">
            <w:pPr>
              <w:rPr>
                <w:rFonts w:asciiTheme="minorHAnsi" w:eastAsia="Lexend" w:hAnsiTheme="minorHAnsi" w:cs="Lexend"/>
              </w:rPr>
            </w:pPr>
            <w:proofErr w:type="gramStart"/>
            <w:r w:rsidRPr="00A07961">
              <w:rPr>
                <w:rFonts w:asciiTheme="minorHAnsi" w:eastAsia="Lexend" w:hAnsiTheme="minorHAnsi" w:cs="Lexend"/>
              </w:rPr>
              <w:t>(  )</w:t>
            </w:r>
            <w:proofErr w:type="gramEnd"/>
            <w:r w:rsidRPr="00A07961">
              <w:rPr>
                <w:rFonts w:asciiTheme="minorHAnsi" w:eastAsia="Lexend" w:hAnsiTheme="minorHAnsi" w:cs="Lexend"/>
              </w:rPr>
              <w:t xml:space="preserve"> Remota (online) - Observações: </w:t>
            </w:r>
          </w:p>
          <w:p w:rsidR="00275F74" w:rsidRPr="00A07961" w:rsidRDefault="005160DB">
            <w:pPr>
              <w:rPr>
                <w:rFonts w:asciiTheme="minorHAnsi" w:eastAsia="Lexend" w:hAnsiTheme="minorHAnsi" w:cs="Lexend"/>
              </w:rPr>
            </w:pPr>
            <w:r w:rsidRPr="00A07961">
              <w:rPr>
                <w:rFonts w:asciiTheme="minorHAnsi" w:eastAsia="Lexend" w:hAnsiTheme="minorHAnsi" w:cs="Lexend"/>
              </w:rPr>
              <w:t>( x</w:t>
            </w:r>
            <w:r w:rsidR="006D23CD" w:rsidRPr="00A07961">
              <w:rPr>
                <w:rFonts w:asciiTheme="minorHAnsi" w:eastAsia="Lexend" w:hAnsiTheme="minorHAnsi" w:cs="Lexend"/>
              </w:rPr>
              <w:t xml:space="preserve">) Presencial - Local: </w:t>
            </w:r>
            <w:r w:rsidRPr="00A07961">
              <w:rPr>
                <w:rFonts w:asciiTheme="minorHAnsi" w:eastAsia="Lexend" w:hAnsiTheme="minorHAnsi" w:cs="Lexend"/>
              </w:rPr>
              <w:t>Sala Multimídia</w:t>
            </w:r>
          </w:p>
        </w:tc>
      </w:tr>
      <w:tr w:rsidR="00275F74" w:rsidRPr="00A07961">
        <w:trPr>
          <w:trHeight w:val="480"/>
        </w:trPr>
        <w:tc>
          <w:tcPr>
            <w:tcW w:w="9255" w:type="dxa"/>
            <w:vAlign w:val="center"/>
          </w:tcPr>
          <w:p w:rsidR="00275F74" w:rsidRPr="00A07961" w:rsidRDefault="006D23CD" w:rsidP="005160DB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Público alvo: 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 </w:t>
            </w:r>
            <w:r w:rsidR="005160DB" w:rsidRPr="00A07961">
              <w:rPr>
                <w:rFonts w:asciiTheme="minorHAnsi" w:eastAsia="Lexend" w:hAnsiTheme="minorHAnsi" w:cstheme="majorHAnsi"/>
                <w:color w:val="000000"/>
              </w:rPr>
              <w:t xml:space="preserve">monitores da Proficiência e </w:t>
            </w:r>
            <w:r w:rsidR="005160DB" w:rsidRPr="00A07961">
              <w:rPr>
                <w:rFonts w:asciiTheme="minorHAnsi" w:eastAsia="Calibri" w:hAnsiTheme="minorHAnsi" w:cstheme="majorHAnsi"/>
              </w:rPr>
              <w:t>estudantes de</w:t>
            </w:r>
            <w:r w:rsidR="005160DB" w:rsidRPr="00A07961">
              <w:rPr>
                <w:rFonts w:asciiTheme="minorHAnsi" w:eastAsia="Calibri" w:hAnsiTheme="minorHAnsi" w:cstheme="majorHAnsi"/>
                <w:b/>
              </w:rPr>
              <w:t xml:space="preserve"> </w:t>
            </w:r>
            <w:r w:rsidR="005160DB" w:rsidRPr="00A07961">
              <w:rPr>
                <w:rFonts w:asciiTheme="minorHAnsi" w:hAnsiTheme="minorHAnsi" w:cstheme="majorHAnsi"/>
              </w:rPr>
              <w:t xml:space="preserve">graduação e pós-graduação </w:t>
            </w:r>
          </w:p>
        </w:tc>
      </w:tr>
      <w:tr w:rsidR="00275F74" w:rsidRPr="00A07961">
        <w:trPr>
          <w:trHeight w:val="48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t xml:space="preserve">Pré-requisitos: </w:t>
            </w:r>
            <w:r w:rsidR="005160DB" w:rsidRPr="00A07961">
              <w:rPr>
                <w:rFonts w:asciiTheme="minorHAnsi" w:eastAsia="Lexend" w:hAnsiTheme="minorHAnsi" w:cstheme="majorHAnsi"/>
              </w:rPr>
              <w:t>não há</w:t>
            </w:r>
          </w:p>
        </w:tc>
      </w:tr>
      <w:tr w:rsidR="00275F74" w:rsidRPr="00A07961">
        <w:trPr>
          <w:trHeight w:val="480"/>
        </w:trPr>
        <w:tc>
          <w:tcPr>
            <w:tcW w:w="9255" w:type="dxa"/>
            <w:vAlign w:val="center"/>
          </w:tcPr>
          <w:p w:rsidR="00275F74" w:rsidRPr="00A07961" w:rsidRDefault="006D23CD" w:rsidP="005160DB">
            <w:pPr>
              <w:widowControl w:val="0"/>
              <w:spacing w:line="244" w:lineRule="auto"/>
              <w:ind w:right="221"/>
              <w:jc w:val="both"/>
              <w:rPr>
                <w:rFonts w:asciiTheme="minorHAnsi" w:eastAsia="Lexend" w:hAnsiTheme="minorHAnsi" w:cs="Lexend"/>
                <w:b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t xml:space="preserve">Material a ser utilizado: </w:t>
            </w:r>
            <w:r w:rsidRPr="00A07961">
              <w:rPr>
                <w:rFonts w:asciiTheme="minorHAnsi" w:eastAsia="Lexend" w:hAnsiTheme="minorHAnsi" w:cs="Lexend"/>
              </w:rPr>
              <w:t xml:space="preserve"> </w:t>
            </w:r>
            <w:r w:rsidR="005160DB" w:rsidRPr="00A07961">
              <w:rPr>
                <w:rFonts w:asciiTheme="minorHAnsi" w:eastAsia="Lexend" w:hAnsiTheme="minorHAnsi" w:cs="Lexend"/>
              </w:rPr>
              <w:t>Datashow e fotocópia</w:t>
            </w:r>
          </w:p>
        </w:tc>
      </w:tr>
      <w:tr w:rsidR="00275F74" w:rsidRPr="00A07961">
        <w:trPr>
          <w:trHeight w:val="50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Pago</w:t>
            </w:r>
            <w:r w:rsidRPr="00A07961">
              <w:rPr>
                <w:rFonts w:asciiTheme="minorHAnsi" w:eastAsia="Lexend" w:hAnsiTheme="minorHAnsi" w:cs="Lexend"/>
                <w:b/>
              </w:rPr>
              <w:t>:</w:t>
            </w: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 </w:t>
            </w:r>
            <w:r w:rsidRPr="00A07961">
              <w:rPr>
                <w:rFonts w:asciiTheme="minorHAnsi" w:eastAsia="Lexend" w:hAnsiTheme="minorHAnsi" w:cs="Lexend"/>
                <w:b/>
              </w:rPr>
              <w:t>(</w:t>
            </w:r>
            <w:proofErr w:type="gramStart"/>
            <w:r w:rsidR="00A07961">
              <w:rPr>
                <w:rFonts w:asciiTheme="minorHAnsi" w:eastAsia="Lexend" w:hAnsiTheme="minorHAnsi" w:cs="Lexend"/>
                <w:b/>
              </w:rPr>
              <w:t>x</w:t>
            </w:r>
            <w:r w:rsidRPr="00A07961">
              <w:rPr>
                <w:rFonts w:asciiTheme="minorHAnsi" w:eastAsia="Lexend" w:hAnsiTheme="minorHAnsi" w:cs="Lexend"/>
                <w:b/>
              </w:rPr>
              <w:t xml:space="preserve"> )</w:t>
            </w:r>
            <w:proofErr w:type="gramEnd"/>
            <w:r w:rsidRPr="00A07961">
              <w:rPr>
                <w:rFonts w:asciiTheme="minorHAnsi" w:eastAsia="Lexend" w:hAnsiTheme="minorHAnsi" w:cs="Lexend"/>
                <w:b/>
              </w:rPr>
              <w:t xml:space="preserve"> Sim ( ) Não</w:t>
            </w:r>
          </w:p>
          <w:p w:rsidR="00275F74" w:rsidRPr="00A07961" w:rsidRDefault="006D23CD">
            <w:pPr>
              <w:rPr>
                <w:rFonts w:asciiTheme="minorHAnsi" w:eastAsia="Lexend" w:hAnsiTheme="minorHAnsi" w:cs="Lexend"/>
              </w:rPr>
            </w:pPr>
            <w:r w:rsidRPr="00A07961">
              <w:rPr>
                <w:rFonts w:asciiTheme="minorHAnsi" w:eastAsia="Lexend" w:hAnsiTheme="minorHAnsi" w:cs="Lexend"/>
              </w:rPr>
              <w:t xml:space="preserve">Obs.: a tabela de valores aprovada no conselho do CIL é a seguinte: </w:t>
            </w:r>
          </w:p>
          <w:p w:rsidR="00275F74" w:rsidRPr="00A07961" w:rsidRDefault="006D23CD">
            <w:pPr>
              <w:rPr>
                <w:rFonts w:asciiTheme="minorHAnsi" w:eastAsia="Lexend" w:hAnsiTheme="minorHAnsi" w:cs="Lexend"/>
              </w:rPr>
            </w:pPr>
            <w:r w:rsidRPr="00A07961">
              <w:rPr>
                <w:rFonts w:asciiTheme="minorHAnsi" w:eastAsia="Lexend" w:hAnsiTheme="minorHAnsi" w:cs="Lexend"/>
              </w:rPr>
              <w:t>Comunidade USP R$25,00</w:t>
            </w:r>
          </w:p>
          <w:p w:rsidR="00275F74" w:rsidRPr="00A07961" w:rsidRDefault="006D23CD">
            <w:pPr>
              <w:rPr>
                <w:rFonts w:asciiTheme="minorHAnsi" w:eastAsia="Lexend" w:hAnsiTheme="minorHAnsi" w:cs="Lexend"/>
              </w:rPr>
            </w:pPr>
            <w:r w:rsidRPr="00A07961">
              <w:rPr>
                <w:rFonts w:asciiTheme="minorHAnsi" w:eastAsia="Lexend" w:hAnsiTheme="minorHAnsi" w:cs="Lexend"/>
              </w:rPr>
              <w:t>Público Externo R$50,00</w:t>
            </w:r>
          </w:p>
        </w:tc>
      </w:tr>
      <w:tr w:rsidR="00275F74" w:rsidRPr="00A07961">
        <w:trPr>
          <w:trHeight w:val="50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Comunidade USP: (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>x</w:t>
            </w:r>
            <w:r w:rsidRPr="00A07961">
              <w:rPr>
                <w:rFonts w:asciiTheme="minorHAnsi" w:eastAsia="Lexend" w:hAnsiTheme="minorHAnsi" w:cs="Lexend"/>
                <w:b/>
              </w:rPr>
              <w:t xml:space="preserve"> ) Sim ( ) Não</w:t>
            </w:r>
          </w:p>
        </w:tc>
      </w:tr>
      <w:tr w:rsidR="00275F74" w:rsidRPr="00A07961">
        <w:trPr>
          <w:trHeight w:val="50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  <w:sz w:val="22"/>
                <w:szCs w:val="22"/>
              </w:rPr>
            </w:pP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>Público Externo: (</w:t>
            </w:r>
            <w:r w:rsidR="005160DB" w:rsidRPr="00A07961">
              <w:rPr>
                <w:rFonts w:asciiTheme="minorHAnsi" w:eastAsia="Lexend" w:hAnsiTheme="minorHAnsi" w:cs="Lexend"/>
                <w:b/>
                <w:color w:val="000000"/>
              </w:rPr>
              <w:t>x</w:t>
            </w:r>
            <w:r w:rsidRPr="00A07961">
              <w:rPr>
                <w:rFonts w:asciiTheme="minorHAnsi" w:eastAsia="Lexend" w:hAnsiTheme="minorHAnsi" w:cs="Lexend"/>
                <w:b/>
                <w:color w:val="000000"/>
              </w:rPr>
              <w:t xml:space="preserve"> </w:t>
            </w:r>
            <w:r w:rsidRPr="00A07961">
              <w:rPr>
                <w:rFonts w:asciiTheme="minorHAnsi" w:eastAsia="Lexend" w:hAnsiTheme="minorHAnsi" w:cs="Lexend"/>
                <w:b/>
              </w:rPr>
              <w:t>) Sim ( ) Não</w:t>
            </w:r>
          </w:p>
        </w:tc>
      </w:tr>
      <w:tr w:rsidR="00275F74" w:rsidRPr="00A07961">
        <w:trPr>
          <w:trHeight w:val="500"/>
        </w:trPr>
        <w:tc>
          <w:tcPr>
            <w:tcW w:w="9255" w:type="dxa"/>
            <w:vAlign w:val="center"/>
          </w:tcPr>
          <w:p w:rsidR="00275F74" w:rsidRPr="00A07961" w:rsidRDefault="006D23CD">
            <w:pPr>
              <w:rPr>
                <w:rFonts w:asciiTheme="minorHAnsi" w:eastAsia="Lexend" w:hAnsiTheme="minorHAnsi" w:cs="Lexend"/>
                <w:b/>
                <w:color w:val="000000"/>
              </w:rPr>
            </w:pPr>
            <w:r w:rsidRPr="00A07961">
              <w:rPr>
                <w:rFonts w:asciiTheme="minorHAnsi" w:eastAsia="Lexend" w:hAnsiTheme="minorHAnsi" w:cs="Lexend"/>
                <w:b/>
              </w:rPr>
              <w:lastRenderedPageBreak/>
              <w:t xml:space="preserve">Observações: </w:t>
            </w:r>
          </w:p>
        </w:tc>
      </w:tr>
    </w:tbl>
    <w:p w:rsidR="00275F74" w:rsidRPr="00A07961" w:rsidRDefault="00275F74">
      <w:pPr>
        <w:rPr>
          <w:rFonts w:asciiTheme="minorHAnsi" w:eastAsia="Lexend" w:hAnsiTheme="minorHAnsi" w:cs="Lexend"/>
          <w:sz w:val="22"/>
          <w:szCs w:val="22"/>
        </w:rPr>
      </w:pPr>
    </w:p>
    <w:p w:rsidR="00275F74" w:rsidRPr="00A07961" w:rsidRDefault="006D23CD">
      <w:pPr>
        <w:pStyle w:val="Ttulo1"/>
        <w:spacing w:before="0" w:after="200" w:line="276" w:lineRule="auto"/>
        <w:rPr>
          <w:rFonts w:asciiTheme="minorHAnsi" w:eastAsia="Lexend" w:hAnsiTheme="minorHAnsi" w:cs="Lexend"/>
        </w:rPr>
      </w:pPr>
      <w:bookmarkStart w:id="1" w:name="_heading=h.7plm7un8sd8k" w:colFirst="0" w:colLast="0"/>
      <w:bookmarkEnd w:id="1"/>
      <w:r w:rsidRPr="00A07961">
        <w:rPr>
          <w:rFonts w:asciiTheme="minorHAnsi" w:hAnsiTheme="minorHAnsi"/>
        </w:rPr>
        <w:t>2. Objetivo geral:</w:t>
      </w:r>
    </w:p>
    <w:tbl>
      <w:tblPr>
        <w:tblStyle w:val="a6"/>
        <w:tblW w:w="9345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75F74" w:rsidRPr="00A07961">
        <w:tc>
          <w:tcPr>
            <w:tcW w:w="9345" w:type="dxa"/>
            <w:vAlign w:val="center"/>
          </w:tcPr>
          <w:p w:rsidR="005160DB" w:rsidRPr="00A07961" w:rsidRDefault="005160DB" w:rsidP="005160DB">
            <w:pPr>
              <w:spacing w:line="276" w:lineRule="auto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>Conhecer conceitos teóricos sobre a avaliação de compreensão de leitura.</w:t>
            </w:r>
          </w:p>
          <w:p w:rsidR="005160DB" w:rsidRPr="00A07961" w:rsidRDefault="005160DB" w:rsidP="005160DB">
            <w:pPr>
              <w:spacing w:line="276" w:lineRule="auto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>Selecionar textos destinados à confecção de provas de múltipla escolha.</w:t>
            </w:r>
          </w:p>
          <w:p w:rsidR="005160DB" w:rsidRPr="00A07961" w:rsidRDefault="005160DB" w:rsidP="005160DB">
            <w:pPr>
              <w:spacing w:line="276" w:lineRule="auto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>Estabelecer critério para escolha de textos acadêmicos.</w:t>
            </w:r>
          </w:p>
          <w:p w:rsidR="005160DB" w:rsidRPr="00A07961" w:rsidRDefault="005160DB" w:rsidP="005160DB">
            <w:pPr>
              <w:widowControl w:val="0"/>
              <w:ind w:left="360" w:hanging="360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 xml:space="preserve">Discutir a opção pelo formato múltipla-escolha em testes de leitura. </w:t>
            </w:r>
          </w:p>
          <w:p w:rsidR="005160DB" w:rsidRPr="00A07961" w:rsidRDefault="005160DB" w:rsidP="005160DB">
            <w:pPr>
              <w:widowControl w:val="0"/>
              <w:ind w:left="360" w:hanging="360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 xml:space="preserve">Conhecer os </w:t>
            </w:r>
            <w:r w:rsidRPr="00A07961">
              <w:rPr>
                <w:rFonts w:asciiTheme="minorHAnsi" w:hAnsiTheme="minorHAnsi" w:cstheme="majorHAnsi"/>
                <w:bCs/>
              </w:rPr>
              <w:t xml:space="preserve">elementos constitutivos de um item de múltipla escolha.  </w:t>
            </w:r>
          </w:p>
          <w:p w:rsidR="005160DB" w:rsidRPr="00A07961" w:rsidRDefault="005160DB" w:rsidP="005160DB">
            <w:pPr>
              <w:widowControl w:val="0"/>
              <w:ind w:left="360" w:hanging="360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>Analisar itens de múltipla escolha.</w:t>
            </w:r>
          </w:p>
          <w:p w:rsidR="005160DB" w:rsidRPr="00A07961" w:rsidRDefault="005160DB" w:rsidP="005160DB">
            <w:pPr>
              <w:widowControl w:val="0"/>
              <w:ind w:left="360" w:hanging="360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hAnsiTheme="minorHAnsi" w:cstheme="majorHAnsi"/>
              </w:rPr>
              <w:t xml:space="preserve">Elaborar enunciado, </w:t>
            </w:r>
            <w:proofErr w:type="spellStart"/>
            <w:r w:rsidRPr="00A07961">
              <w:rPr>
                <w:rFonts w:asciiTheme="minorHAnsi" w:hAnsiTheme="minorHAnsi" w:cstheme="majorHAnsi"/>
              </w:rPr>
              <w:t>distratores</w:t>
            </w:r>
            <w:proofErr w:type="spellEnd"/>
            <w:r w:rsidRPr="00A07961">
              <w:rPr>
                <w:rFonts w:asciiTheme="minorHAnsi" w:hAnsiTheme="minorHAnsi" w:cstheme="majorHAnsi"/>
              </w:rPr>
              <w:t xml:space="preserve"> e alternativas. </w:t>
            </w:r>
          </w:p>
          <w:p w:rsidR="005160DB" w:rsidRPr="00A07961" w:rsidRDefault="005160DB" w:rsidP="005160DB">
            <w:pPr>
              <w:spacing w:line="360" w:lineRule="auto"/>
              <w:jc w:val="both"/>
              <w:rPr>
                <w:rFonts w:asciiTheme="minorHAnsi" w:eastAsia="Calibri" w:hAnsiTheme="minorHAnsi" w:cstheme="majorHAnsi"/>
                <w:b/>
                <w:sz w:val="26"/>
                <w:szCs w:val="26"/>
              </w:rPr>
            </w:pPr>
          </w:p>
          <w:p w:rsidR="00275F74" w:rsidRPr="00A07961" w:rsidRDefault="00275F74">
            <w:pPr>
              <w:rPr>
                <w:rFonts w:asciiTheme="minorHAnsi" w:eastAsia="Lexend" w:hAnsiTheme="minorHAnsi" w:cs="Lexend"/>
              </w:rPr>
            </w:pPr>
          </w:p>
        </w:tc>
      </w:tr>
    </w:tbl>
    <w:p w:rsidR="00275F74" w:rsidRPr="00A07961" w:rsidRDefault="00275F74">
      <w:pPr>
        <w:ind w:left="247" w:right="149" w:firstLine="5"/>
        <w:jc w:val="both"/>
        <w:rPr>
          <w:rFonts w:asciiTheme="minorHAnsi" w:eastAsia="Lexend" w:hAnsiTheme="minorHAnsi" w:cs="Lexend"/>
          <w:b/>
        </w:rPr>
      </w:pPr>
    </w:p>
    <w:p w:rsidR="00275F74" w:rsidRPr="00A07961" w:rsidRDefault="006D23CD">
      <w:pPr>
        <w:pStyle w:val="Ttulo1"/>
        <w:spacing w:after="200" w:line="276" w:lineRule="auto"/>
        <w:jc w:val="both"/>
        <w:rPr>
          <w:rFonts w:asciiTheme="minorHAnsi" w:eastAsia="Lexend" w:hAnsiTheme="minorHAnsi" w:cs="Lexend"/>
        </w:rPr>
      </w:pPr>
      <w:bookmarkStart w:id="2" w:name="_heading=h.ewlazhjkq9ui" w:colFirst="0" w:colLast="0"/>
      <w:bookmarkStart w:id="3" w:name="_heading=h.pld1vrjfkgi" w:colFirst="0" w:colLast="0"/>
      <w:bookmarkStart w:id="4" w:name="_GoBack"/>
      <w:bookmarkEnd w:id="2"/>
      <w:bookmarkEnd w:id="3"/>
      <w:bookmarkEnd w:id="4"/>
      <w:r w:rsidRPr="00A07961">
        <w:rPr>
          <w:rFonts w:asciiTheme="minorHAnsi" w:hAnsiTheme="minorHAnsi"/>
        </w:rPr>
        <w:t>3. Conteúdo Programático:</w:t>
      </w:r>
    </w:p>
    <w:tbl>
      <w:tblPr>
        <w:tblStyle w:val="a7"/>
        <w:tblW w:w="9315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275F74" w:rsidRPr="00A07961"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7961" w:rsidRPr="00FA0163" w:rsidRDefault="006D23CD" w:rsidP="00A07961">
            <w:pPr>
              <w:rPr>
                <w:rFonts w:asciiTheme="majorHAnsi" w:hAnsiTheme="majorHAnsi" w:cstheme="majorHAnsi"/>
              </w:rPr>
            </w:pPr>
            <w:r w:rsidRPr="00A07961">
              <w:rPr>
                <w:rFonts w:asciiTheme="minorHAnsi" w:eastAsia="Lexend" w:hAnsiTheme="minorHAnsi" w:cs="Lexend"/>
              </w:rPr>
              <w:t xml:space="preserve">1° </w:t>
            </w:r>
            <w:r w:rsidR="00A07961">
              <w:rPr>
                <w:rFonts w:asciiTheme="minorHAnsi" w:eastAsia="Lexend" w:hAnsiTheme="minorHAnsi" w:cs="Lexend"/>
              </w:rPr>
              <w:t xml:space="preserve">parte da oficina: </w:t>
            </w:r>
            <w:r w:rsidR="00A07961" w:rsidRPr="00FA0163">
              <w:rPr>
                <w:rFonts w:asciiTheme="majorHAnsi" w:hAnsiTheme="majorHAnsi" w:cstheme="majorHAnsi"/>
              </w:rPr>
              <w:t>Apresentação de fundamentos teóricos</w:t>
            </w:r>
            <w:r w:rsidR="00A07961">
              <w:rPr>
                <w:rFonts w:asciiTheme="majorHAnsi" w:hAnsiTheme="majorHAnsi" w:cstheme="majorHAnsi"/>
              </w:rPr>
              <w:t xml:space="preserve"> e a</w:t>
            </w:r>
            <w:r w:rsidR="00A07961" w:rsidRPr="00FA0163">
              <w:rPr>
                <w:rFonts w:asciiTheme="majorHAnsi" w:hAnsiTheme="majorHAnsi" w:cstheme="majorHAnsi"/>
              </w:rPr>
              <w:t xml:space="preserve">plicação de critérios para </w:t>
            </w:r>
            <w:proofErr w:type="gramStart"/>
            <w:r w:rsidR="00A07961">
              <w:rPr>
                <w:rFonts w:asciiTheme="majorHAnsi" w:hAnsiTheme="majorHAnsi" w:cstheme="majorHAnsi"/>
              </w:rPr>
              <w:t xml:space="preserve">seleção </w:t>
            </w:r>
            <w:r w:rsidR="00A07961" w:rsidRPr="00FA0163">
              <w:rPr>
                <w:rFonts w:asciiTheme="majorHAnsi" w:hAnsiTheme="majorHAnsi" w:cstheme="majorHAnsi"/>
              </w:rPr>
              <w:t xml:space="preserve"> de</w:t>
            </w:r>
            <w:proofErr w:type="gramEnd"/>
            <w:r w:rsidR="00A07961" w:rsidRPr="00FA0163">
              <w:rPr>
                <w:rFonts w:asciiTheme="majorHAnsi" w:hAnsiTheme="majorHAnsi" w:cstheme="majorHAnsi"/>
              </w:rPr>
              <w:t xml:space="preserve"> textos</w:t>
            </w:r>
          </w:p>
          <w:p w:rsidR="00275F74" w:rsidRPr="00A07961" w:rsidRDefault="00A07961" w:rsidP="00A07961">
            <w:pPr>
              <w:rPr>
                <w:rFonts w:asciiTheme="minorHAnsi" w:eastAsia="Lexend" w:hAnsiTheme="minorHAnsi" w:cs="Lexend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75F74" w:rsidRPr="00A07961"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0E78" w:rsidRPr="00A07961" w:rsidRDefault="006D23CD" w:rsidP="00B30E78">
            <w:pPr>
              <w:widowControl w:val="0"/>
              <w:ind w:left="360" w:hanging="360"/>
              <w:rPr>
                <w:rFonts w:asciiTheme="minorHAnsi" w:hAnsiTheme="minorHAnsi" w:cstheme="majorHAnsi"/>
              </w:rPr>
            </w:pPr>
            <w:r w:rsidRPr="00A07961">
              <w:rPr>
                <w:rFonts w:asciiTheme="minorHAnsi" w:eastAsia="Lexend" w:hAnsiTheme="minorHAnsi" w:cs="Lexend"/>
              </w:rPr>
              <w:t>2°</w:t>
            </w:r>
            <w:r w:rsidR="00A07961">
              <w:rPr>
                <w:rFonts w:asciiTheme="minorHAnsi" w:eastAsia="Lexend" w:hAnsiTheme="minorHAnsi" w:cs="Lexend"/>
              </w:rPr>
              <w:t xml:space="preserve"> parte da oficina</w:t>
            </w:r>
            <w:r w:rsidRPr="00A07961">
              <w:rPr>
                <w:rFonts w:asciiTheme="minorHAnsi" w:eastAsia="Lexend" w:hAnsiTheme="minorHAnsi" w:cs="Lexend"/>
              </w:rPr>
              <w:t xml:space="preserve">: </w:t>
            </w:r>
            <w:r w:rsidR="00B30E78">
              <w:rPr>
                <w:rStyle w:val="oypena"/>
                <w:color w:val="000000"/>
              </w:rPr>
              <w:t xml:space="preserve">Elementos constitutivos de um item de múltipla escolha e </w:t>
            </w:r>
            <w:r w:rsidR="00B30E78">
              <w:rPr>
                <w:rFonts w:asciiTheme="minorHAnsi" w:hAnsiTheme="minorHAnsi" w:cstheme="majorHAnsi"/>
              </w:rPr>
              <w:t>e</w:t>
            </w:r>
            <w:r w:rsidR="00B30E78" w:rsidRPr="00A07961">
              <w:rPr>
                <w:rFonts w:asciiTheme="minorHAnsi" w:hAnsiTheme="minorHAnsi" w:cstheme="majorHAnsi"/>
              </w:rPr>
              <w:t>labora</w:t>
            </w:r>
            <w:r w:rsidR="00B30E78">
              <w:rPr>
                <w:rFonts w:asciiTheme="minorHAnsi" w:hAnsiTheme="minorHAnsi" w:cstheme="majorHAnsi"/>
              </w:rPr>
              <w:t>ção de</w:t>
            </w:r>
            <w:r w:rsidR="00B30E78" w:rsidRPr="00A07961">
              <w:rPr>
                <w:rFonts w:asciiTheme="minorHAnsi" w:hAnsiTheme="minorHAnsi" w:cstheme="majorHAnsi"/>
              </w:rPr>
              <w:t xml:space="preserve"> enunciado, </w:t>
            </w:r>
            <w:proofErr w:type="spellStart"/>
            <w:r w:rsidR="00B30E78" w:rsidRPr="00A07961">
              <w:rPr>
                <w:rFonts w:asciiTheme="minorHAnsi" w:hAnsiTheme="minorHAnsi" w:cstheme="majorHAnsi"/>
              </w:rPr>
              <w:t>distratores</w:t>
            </w:r>
            <w:proofErr w:type="spellEnd"/>
            <w:r w:rsidR="00B30E78" w:rsidRPr="00A07961">
              <w:rPr>
                <w:rFonts w:asciiTheme="minorHAnsi" w:hAnsiTheme="minorHAnsi" w:cstheme="majorHAnsi"/>
              </w:rPr>
              <w:t xml:space="preserve"> e alternativas. </w:t>
            </w:r>
          </w:p>
          <w:p w:rsidR="00275F74" w:rsidRPr="00A07961" w:rsidRDefault="00275F74" w:rsidP="00B30E78">
            <w:pPr>
              <w:widowControl w:val="0"/>
              <w:ind w:right="149"/>
              <w:jc w:val="both"/>
              <w:rPr>
                <w:rFonts w:asciiTheme="minorHAnsi" w:eastAsia="Lexend" w:hAnsiTheme="minorHAnsi" w:cs="Lexend"/>
              </w:rPr>
            </w:pPr>
          </w:p>
        </w:tc>
      </w:tr>
    </w:tbl>
    <w:p w:rsidR="00275F74" w:rsidRPr="00A07961" w:rsidRDefault="00275F74">
      <w:pPr>
        <w:widowControl w:val="0"/>
        <w:ind w:right="149"/>
        <w:jc w:val="both"/>
        <w:rPr>
          <w:rFonts w:asciiTheme="minorHAnsi" w:eastAsia="Lexend" w:hAnsiTheme="minorHAnsi" w:cs="Lexend"/>
          <w:b/>
        </w:rPr>
      </w:pPr>
    </w:p>
    <w:p w:rsidR="00275F74" w:rsidRPr="00A07961" w:rsidRDefault="006D23CD">
      <w:pPr>
        <w:pStyle w:val="Ttulo1"/>
        <w:rPr>
          <w:rFonts w:asciiTheme="minorHAnsi" w:eastAsia="Lexend" w:hAnsiTheme="minorHAnsi" w:cs="Lexend"/>
        </w:rPr>
      </w:pPr>
      <w:bookmarkStart w:id="5" w:name="_heading=h.kmqo6l46ybw7" w:colFirst="0" w:colLast="0"/>
      <w:bookmarkEnd w:id="5"/>
      <w:r w:rsidRPr="00A07961">
        <w:rPr>
          <w:rFonts w:asciiTheme="minorHAnsi" w:hAnsiTheme="minorHAnsi"/>
        </w:rPr>
        <w:t>4. Bibliografia:</w:t>
      </w:r>
    </w:p>
    <w:tbl>
      <w:tblPr>
        <w:tblStyle w:val="a8"/>
        <w:tblW w:w="9345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275F74" w:rsidRPr="00A07961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60DB" w:rsidRPr="00A07961" w:rsidRDefault="005160DB" w:rsidP="005160DB">
            <w:pPr>
              <w:widowControl w:val="0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A07961">
              <w:rPr>
                <w:rFonts w:asciiTheme="minorHAnsi" w:hAnsiTheme="minorHAnsi" w:cs="Calibri"/>
                <w:bCs/>
                <w:lang w:val="en-US"/>
              </w:rPr>
              <w:t>A Guide to Writing Multiple Choice Items (2013).</w:t>
            </w:r>
            <w:r w:rsidRPr="00A07961">
              <w:rPr>
                <w:rFonts w:asciiTheme="minorHAnsi" w:hAnsiTheme="minorHAnsi" w:cs="Calibri"/>
                <w:b/>
                <w:bCs/>
                <w:lang w:val="en-US"/>
              </w:rPr>
              <w:t xml:space="preserve"> </w:t>
            </w:r>
            <w:r w:rsidRPr="00A07961">
              <w:rPr>
                <w:rFonts w:asciiTheme="minorHAnsi" w:hAnsiTheme="minorHAnsi" w:cs="Calibri"/>
                <w:lang w:val="en-US"/>
              </w:rPr>
              <w:t>Minneapolis: American Academy of Neurology Institute.</w:t>
            </w:r>
          </w:p>
          <w:p w:rsidR="005160DB" w:rsidRPr="00A07961" w:rsidRDefault="005160DB" w:rsidP="005160DB">
            <w:pPr>
              <w:widowControl w:val="0"/>
              <w:rPr>
                <w:rFonts w:asciiTheme="minorHAnsi" w:hAnsiTheme="minorHAnsi" w:cs="Calibri"/>
                <w:lang w:val="en-US"/>
              </w:rPr>
            </w:pPr>
            <w:r w:rsidRPr="00A07961">
              <w:rPr>
                <w:rFonts w:asciiTheme="minorHAnsi" w:hAnsiTheme="minorHAnsi" w:cs="Calibri"/>
                <w:lang w:val="en-US"/>
              </w:rPr>
              <w:t>ALDERSON, J.C.  (2000) Assessing reading. Cambridge: Cambridge University Press.</w:t>
            </w:r>
          </w:p>
          <w:p w:rsidR="005160DB" w:rsidRPr="00A07961" w:rsidRDefault="005160DB" w:rsidP="005160DB">
            <w:pPr>
              <w:widowControl w:val="0"/>
              <w:rPr>
                <w:rFonts w:asciiTheme="minorHAnsi" w:hAnsiTheme="minorHAnsi" w:cs="Calibri"/>
                <w:lang w:val="en-US"/>
              </w:rPr>
            </w:pPr>
            <w:r w:rsidRPr="00A07961">
              <w:rPr>
                <w:rFonts w:asciiTheme="minorHAnsi" w:hAnsiTheme="minorHAnsi" w:cs="Calibri"/>
                <w:lang w:val="en-US"/>
              </w:rPr>
              <w:t xml:space="preserve">ALBRO, E.; O'REILLY, T.; SABATINI, J. (2012) Advances in how we assess reading ability. Plymouth: </w:t>
            </w:r>
            <w:proofErr w:type="spellStart"/>
            <w:r w:rsidRPr="00A07961">
              <w:rPr>
                <w:rFonts w:asciiTheme="minorHAnsi" w:hAnsiTheme="minorHAnsi" w:cs="Calibri"/>
                <w:lang w:val="en-US"/>
              </w:rPr>
              <w:t>Rowman</w:t>
            </w:r>
            <w:proofErr w:type="spellEnd"/>
            <w:r w:rsidRPr="00A07961">
              <w:rPr>
                <w:rFonts w:asciiTheme="minorHAnsi" w:hAnsiTheme="minorHAnsi" w:cs="Calibri"/>
                <w:lang w:val="en-US"/>
              </w:rPr>
              <w:t xml:space="preserve"> and Littlefield Education.</w:t>
            </w:r>
          </w:p>
          <w:p w:rsidR="005160DB" w:rsidRPr="00A07961" w:rsidRDefault="005160DB" w:rsidP="005160DB">
            <w:pPr>
              <w:rPr>
                <w:rFonts w:asciiTheme="minorHAnsi" w:hAnsiTheme="minorHAnsi" w:cs="Calibri"/>
                <w:lang w:val="en-US"/>
              </w:rPr>
            </w:pPr>
            <w:r w:rsidRPr="00A07961">
              <w:rPr>
                <w:rFonts w:asciiTheme="minorHAnsi" w:hAnsiTheme="minorHAnsi" w:cs="Calibri"/>
                <w:lang w:val="en-US"/>
              </w:rPr>
              <w:t xml:space="preserve">FULCHER, G; DAVIDSON, F. (2013) </w:t>
            </w:r>
            <w:r w:rsidRPr="00A07961">
              <w:rPr>
                <w:rFonts w:asciiTheme="minorHAnsi" w:hAnsiTheme="minorHAnsi" w:cs="Calibri"/>
                <w:i/>
                <w:iCs/>
                <w:lang w:val="en-US"/>
              </w:rPr>
              <w:t>The Routledge handbook of language testing</w:t>
            </w:r>
            <w:r w:rsidRPr="00A07961">
              <w:rPr>
                <w:rFonts w:asciiTheme="minorHAnsi" w:hAnsiTheme="minorHAnsi" w:cs="Calibri"/>
                <w:lang w:val="en-US"/>
              </w:rPr>
              <w:t>.  Routledge: New York.</w:t>
            </w:r>
          </w:p>
          <w:p w:rsidR="00275F74" w:rsidRPr="00A07961" w:rsidRDefault="00275F74">
            <w:pPr>
              <w:widowControl w:val="0"/>
              <w:ind w:right="149"/>
              <w:jc w:val="both"/>
              <w:rPr>
                <w:rFonts w:asciiTheme="minorHAnsi" w:eastAsia="Lexend" w:hAnsiTheme="minorHAnsi" w:cs="Lexend"/>
                <w:lang w:val="en-US"/>
              </w:rPr>
            </w:pPr>
          </w:p>
        </w:tc>
      </w:tr>
    </w:tbl>
    <w:p w:rsidR="00275F74" w:rsidRPr="00A07961" w:rsidRDefault="00275F74">
      <w:pPr>
        <w:widowControl w:val="0"/>
        <w:spacing w:line="244" w:lineRule="auto"/>
        <w:ind w:right="221"/>
        <w:jc w:val="both"/>
        <w:rPr>
          <w:rFonts w:asciiTheme="minorHAnsi" w:eastAsia="Calibri" w:hAnsiTheme="minorHAnsi" w:cs="Calibri"/>
          <w:sz w:val="26"/>
          <w:szCs w:val="26"/>
          <w:lang w:val="en-US"/>
        </w:rPr>
      </w:pPr>
    </w:p>
    <w:sectPr w:rsidR="00275F74" w:rsidRPr="00A079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D9" w:rsidRDefault="005F14D9">
      <w:r>
        <w:separator/>
      </w:r>
    </w:p>
  </w:endnote>
  <w:endnote w:type="continuationSeparator" w:id="0">
    <w:p w:rsidR="005F14D9" w:rsidRDefault="005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74" w:rsidRDefault="00275F7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74" w:rsidRDefault="00275F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74" w:rsidRDefault="00275F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D9" w:rsidRDefault="005F14D9">
      <w:r>
        <w:separator/>
      </w:r>
    </w:p>
  </w:footnote>
  <w:footnote w:type="continuationSeparator" w:id="0">
    <w:p w:rsidR="005F14D9" w:rsidRDefault="005F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74" w:rsidRDefault="005F14D9">
    <w:pPr>
      <w:widowControl w:val="0"/>
      <w:ind w:right="-7"/>
      <w:jc w:val="right"/>
      <w:rPr>
        <w:rFonts w:ascii="Lexend" w:eastAsia="Lexend" w:hAnsi="Lexend" w:cs="Lexend"/>
        <w:b/>
        <w:color w:val="002060"/>
        <w:sz w:val="20"/>
        <w:szCs w:val="20"/>
      </w:rPr>
    </w:pPr>
    <w:r>
      <w:rPr>
        <w:rFonts w:ascii="Lexend" w:eastAsia="Lexend" w:hAnsi="Lexend" w:cs="Lexend"/>
        <w:b/>
        <w:color w:val="002060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308.1pt;height:293.2pt;rotation:315;z-index:-251658752;mso-position-horizontal:center;mso-position-horizontal-relative:margin;mso-position-vertical:center;mso-position-vertical-relative:margin" fillcolor="#339" stroked="f">
          <v:fill opacity="6554f"/>
          <v:textpath style="font-family:&quot;&amp;quot&quot;;font-size:1pt" string="CIL"/>
          <w10:wrap anchorx="margin" anchory="margin"/>
        </v:shape>
      </w:pict>
    </w:r>
    <w:r w:rsidR="006D23CD">
      <w:rPr>
        <w:rFonts w:ascii="Lexend" w:eastAsia="Lexend" w:hAnsi="Lexend" w:cs="Lexend"/>
        <w:b/>
        <w:color w:val="002060"/>
        <w:sz w:val="20"/>
        <w:szCs w:val="20"/>
      </w:rPr>
      <w:t>Universidade de São Paulo</w:t>
    </w:r>
    <w:r w:rsidR="006D23CD">
      <w:rPr>
        <w:noProof/>
      </w:rPr>
      <w:drawing>
        <wp:anchor distT="114300" distB="114300" distL="114300" distR="114300" simplePos="0" relativeHeight="251656704" behindDoc="0" locked="0" layoutInCell="1" hidden="0" allowOverlap="1">
          <wp:simplePos x="0" y="0"/>
          <wp:positionH relativeFrom="column">
            <wp:posOffset>-152398</wp:posOffset>
          </wp:positionH>
          <wp:positionV relativeFrom="paragraph">
            <wp:posOffset>-276223</wp:posOffset>
          </wp:positionV>
          <wp:extent cx="1782128" cy="97762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128" cy="977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5F74" w:rsidRDefault="006D23CD">
    <w:pPr>
      <w:widowControl w:val="0"/>
      <w:ind w:right="-7"/>
      <w:jc w:val="right"/>
      <w:rPr>
        <w:rFonts w:ascii="Lexend" w:eastAsia="Lexend" w:hAnsi="Lexend" w:cs="Lexend"/>
        <w:b/>
        <w:color w:val="002060"/>
        <w:sz w:val="20"/>
        <w:szCs w:val="20"/>
      </w:rPr>
    </w:pPr>
    <w:r>
      <w:rPr>
        <w:rFonts w:ascii="Lexend" w:eastAsia="Lexend" w:hAnsi="Lexend" w:cs="Lexend"/>
        <w:b/>
        <w:color w:val="002060"/>
        <w:sz w:val="20"/>
        <w:szCs w:val="20"/>
      </w:rPr>
      <w:t>Faculdade de Filosofia, Letras e Ciências Humanas</w:t>
    </w:r>
  </w:p>
  <w:p w:rsidR="00275F74" w:rsidRDefault="006D23CD">
    <w:pPr>
      <w:widowControl w:val="0"/>
      <w:ind w:right="-7"/>
      <w:jc w:val="right"/>
      <w:rPr>
        <w:rFonts w:ascii="Lexend" w:eastAsia="Lexend" w:hAnsi="Lexend" w:cs="Lexend"/>
        <w:color w:val="002060"/>
        <w:sz w:val="14"/>
        <w:szCs w:val="14"/>
      </w:rPr>
    </w:pPr>
    <w:r>
      <w:rPr>
        <w:rFonts w:ascii="Lexend" w:eastAsia="Lexend" w:hAnsi="Lexend" w:cs="Lexend"/>
        <w:color w:val="002060"/>
        <w:sz w:val="14"/>
        <w:szCs w:val="14"/>
      </w:rPr>
      <w:t>Av. Prof. Lineu Prestes, nº 159 - Casa de Cultura Japonesa - Sala 05 - Subsolo</w:t>
    </w:r>
  </w:p>
  <w:p w:rsidR="00275F74" w:rsidRDefault="006D23CD">
    <w:pPr>
      <w:widowControl w:val="0"/>
      <w:ind w:right="-7"/>
      <w:jc w:val="right"/>
      <w:rPr>
        <w:rFonts w:ascii="Lexend" w:eastAsia="Lexend" w:hAnsi="Lexend" w:cs="Lexend"/>
        <w:color w:val="002060"/>
        <w:sz w:val="14"/>
        <w:szCs w:val="14"/>
      </w:rPr>
    </w:pPr>
    <w:r>
      <w:rPr>
        <w:rFonts w:ascii="Lexend" w:eastAsia="Lexend" w:hAnsi="Lexend" w:cs="Lexend"/>
        <w:color w:val="002060"/>
        <w:sz w:val="14"/>
        <w:szCs w:val="14"/>
      </w:rPr>
      <w:t xml:space="preserve">Cidade Universitária - São </w:t>
    </w:r>
    <w:proofErr w:type="spellStart"/>
    <w:r>
      <w:rPr>
        <w:rFonts w:ascii="Lexend" w:eastAsia="Lexend" w:hAnsi="Lexend" w:cs="Lexend"/>
        <w:color w:val="002060"/>
        <w:sz w:val="14"/>
        <w:szCs w:val="14"/>
      </w:rPr>
      <w:t>Paulo-SP</w:t>
    </w:r>
    <w:proofErr w:type="spellEnd"/>
    <w:r>
      <w:rPr>
        <w:rFonts w:ascii="Lexend" w:eastAsia="Lexend" w:hAnsi="Lexend" w:cs="Lexend"/>
        <w:color w:val="002060"/>
        <w:sz w:val="14"/>
        <w:szCs w:val="14"/>
      </w:rPr>
      <w:t xml:space="preserve"> - CEP 05508-000</w:t>
    </w:r>
  </w:p>
  <w:p w:rsidR="00275F74" w:rsidRDefault="006D23CD">
    <w:pPr>
      <w:widowControl w:val="0"/>
      <w:ind w:right="-7"/>
      <w:jc w:val="right"/>
      <w:rPr>
        <w:rFonts w:ascii="Lexend" w:eastAsia="Lexend" w:hAnsi="Lexend" w:cs="Lexend"/>
        <w:color w:val="002060"/>
        <w:sz w:val="14"/>
        <w:szCs w:val="14"/>
      </w:rPr>
    </w:pPr>
    <w:proofErr w:type="spellStart"/>
    <w:r>
      <w:rPr>
        <w:rFonts w:ascii="Lexend" w:eastAsia="Lexend" w:hAnsi="Lexend" w:cs="Lexend"/>
        <w:color w:val="002060"/>
        <w:sz w:val="14"/>
        <w:szCs w:val="14"/>
      </w:rPr>
      <w:t>Tel</w:t>
    </w:r>
    <w:proofErr w:type="spellEnd"/>
    <w:r>
      <w:rPr>
        <w:rFonts w:ascii="Lexend" w:eastAsia="Lexend" w:hAnsi="Lexend" w:cs="Lexend"/>
        <w:color w:val="002060"/>
        <w:sz w:val="14"/>
        <w:szCs w:val="14"/>
      </w:rPr>
      <w:t xml:space="preserve">: 3091.24176 - Site: </w:t>
    </w:r>
    <w:hyperlink r:id="rId2">
      <w:r>
        <w:rPr>
          <w:rFonts w:ascii="Lexend" w:eastAsia="Lexend" w:hAnsi="Lexend" w:cs="Lexend"/>
          <w:color w:val="002060"/>
          <w:sz w:val="14"/>
          <w:szCs w:val="14"/>
          <w:u w:val="single"/>
        </w:rPr>
        <w:t>https://clinguas.fflch.usp.br</w:t>
      </w:r>
    </w:hyperlink>
  </w:p>
  <w:p w:rsidR="00275F74" w:rsidRDefault="00275F74">
    <w:pPr>
      <w:tabs>
        <w:tab w:val="center" w:pos="4252"/>
        <w:tab w:val="right" w:pos="8504"/>
      </w:tabs>
      <w:rPr>
        <w:rFonts w:ascii="Arial" w:eastAsia="Arial" w:hAnsi="Arial" w:cs="Arial"/>
        <w:color w:val="3333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74" w:rsidRDefault="005F14D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308.1pt;height:293.2pt;rotation:315;z-index:-251657728;mso-position-horizontal:center;mso-position-horizontal-relative:margin;mso-position-vertical:center;mso-position-vertical-relative:margin" fillcolor="#339" stroked="f">
          <v:fill opacity="6554f"/>
          <v:textpath style="font-family:&quot;&amp;quot&quot;;font-size:1pt" string="C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74"/>
    <w:rsid w:val="00166737"/>
    <w:rsid w:val="00275F74"/>
    <w:rsid w:val="005160DB"/>
    <w:rsid w:val="005F14D9"/>
    <w:rsid w:val="006D23CD"/>
    <w:rsid w:val="008520DD"/>
    <w:rsid w:val="00A07961"/>
    <w:rsid w:val="00B30E78"/>
    <w:rsid w:val="00F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6D309D5-EAD6-446C-9E03-B9912C9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E78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ypena">
    <w:name w:val="oypena"/>
    <w:basedOn w:val="Fontepargpadro"/>
    <w:rsid w:val="00B3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linguas.fflch.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fnDUWoB4Tzg/CAlmgcT3VHmTw==">CgMxLjAyDmguOThxZ3Rwa3ZmZTh0Mg5oLjdwbG03dW44c2Q4azIOaC5ld2xhemhqa3E5dWkyDWgucGxkMXZyamZrZ2kyDmgua21xbzZsNDZ5Ync3OAByITFBVjh4SDNUTTBEQkRfUF9VcHJleVducDIyaUV0ZXVHWg==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Maria Rodrigues Fernandes Marcello</dc:creator>
  <cp:lastModifiedBy>Nivia Maria Rodrigues Fernandes Marcello</cp:lastModifiedBy>
  <cp:revision>4</cp:revision>
  <dcterms:created xsi:type="dcterms:W3CDTF">2024-04-23T17:41:00Z</dcterms:created>
  <dcterms:modified xsi:type="dcterms:W3CDTF">2024-04-23T17:41:00Z</dcterms:modified>
</cp:coreProperties>
</file>