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8.0" w:type="dxa"/>
        <w:jc w:val="left"/>
        <w:tblInd w:w="-851.0" w:type="dxa"/>
        <w:tblLayout w:type="fixed"/>
        <w:tblLook w:val="0000"/>
      </w:tblPr>
      <w:tblGrid>
        <w:gridCol w:w="4322"/>
        <w:gridCol w:w="6276"/>
        <w:tblGridChange w:id="0">
          <w:tblGrid>
            <w:gridCol w:w="4322"/>
            <w:gridCol w:w="627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Questrial" w:cs="Questrial" w:eastAsia="Questrial" w:hAnsi="Questrial"/>
                <w:b w:val="0"/>
                <w:color w:val="00206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535353"/>
                <w:sz w:val="21"/>
                <w:szCs w:val="21"/>
                <w:vertAlign w:val="baseline"/>
              </w:rPr>
              <w:drawing>
                <wp:inline distB="0" distT="0" distL="114300" distR="114300">
                  <wp:extent cx="1472565" cy="833755"/>
                  <wp:effectExtent b="0" l="0" r="0" t="0"/>
                  <wp:docPr descr="Descrição: D:\Downloads\Desde1991-CMYK (1).png" id="4" name="image1.png"/>
                  <a:graphic>
                    <a:graphicData uri="http://schemas.openxmlformats.org/drawingml/2006/picture">
                      <pic:pic>
                        <pic:nvPicPr>
                          <pic:cNvPr descr="Descrição: D:\Downloads\Desde1991-CMYK (1).pn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565" cy="8337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851" w:firstLine="851"/>
              <w:jc w:val="right"/>
              <w:rPr>
                <w:rFonts w:ascii="Questrial" w:cs="Questrial" w:eastAsia="Questrial" w:hAnsi="Questrial"/>
                <w:b w:val="0"/>
                <w:color w:val="00206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851" w:firstLine="851"/>
              <w:jc w:val="right"/>
              <w:rPr>
                <w:rFonts w:ascii="Times New Roman" w:cs="Times New Roman" w:eastAsia="Times New Roman" w:hAnsi="Times New Roman"/>
                <w:b w:val="0"/>
                <w:color w:val="00206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sz w:val="18"/>
                <w:szCs w:val="18"/>
                <w:vertAlign w:val="baseline"/>
                <w:rtl w:val="0"/>
              </w:rPr>
              <w:t xml:space="preserve">Universidade de São Paulo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851" w:firstLine="851"/>
              <w:jc w:val="right"/>
              <w:rPr>
                <w:rFonts w:ascii="Times New Roman" w:cs="Times New Roman" w:eastAsia="Times New Roman" w:hAnsi="Times New Roman"/>
                <w:b w:val="0"/>
                <w:color w:val="00206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sz w:val="18"/>
                <w:szCs w:val="18"/>
                <w:vertAlign w:val="baseline"/>
                <w:rtl w:val="0"/>
              </w:rPr>
              <w:t xml:space="preserve">Faculdade de Filosofia, Letras e Ciências Humanas - USP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18"/>
                <w:szCs w:val="18"/>
                <w:vertAlign w:val="baseline"/>
                <w:rtl w:val="0"/>
              </w:rPr>
              <w:t xml:space="preserve">Av. Prof. Lineu Prestes nº 159 - CCJ - Sala 05 CEP: 05508-000</w:t>
              <w:br w:type="textWrapping"/>
              <w:t xml:space="preserve">Cidade Universitária – São Paulo-SP.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851" w:firstLine="851"/>
              <w:jc w:val="right"/>
              <w:rPr>
                <w:rFonts w:ascii="Times New Roman" w:cs="Times New Roman" w:eastAsia="Times New Roman" w:hAnsi="Times New Roman"/>
                <w:b w:val="0"/>
                <w:color w:val="00206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18"/>
                <w:szCs w:val="18"/>
                <w:vertAlign w:val="baseline"/>
                <w:rtl w:val="0"/>
              </w:rPr>
              <w:t xml:space="preserve">                                  Site-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http://clinguas.fflch.usp.br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18"/>
                <w:szCs w:val="18"/>
                <w:vertAlign w:val="baseline"/>
                <w:rtl w:val="0"/>
              </w:rPr>
              <w:t xml:space="preserve">  Tel (11) 3091-2416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851" w:firstLine="851"/>
              <w:jc w:val="center"/>
              <w:rPr>
                <w:rFonts w:ascii="Times New Roman" w:cs="Times New Roman" w:eastAsia="Times New Roman" w:hAnsi="Times New Roman"/>
                <w:b w:val="0"/>
                <w:color w:val="00206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color w:val="002060"/>
                <w:sz w:val="18"/>
                <w:szCs w:val="18"/>
                <w:vertAlign w:val="baseline"/>
                <w:rtl w:val="0"/>
              </w:rPr>
              <w:t xml:space="preserve">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Arial" w:cs="Arial" w:eastAsia="Arial" w:hAnsi="Arial"/>
                <w:b w:val="0"/>
                <w:color w:val="535353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851" w:firstLine="851"/>
              <w:jc w:val="right"/>
              <w:rPr>
                <w:rFonts w:ascii="Questrial" w:cs="Questrial" w:eastAsia="Questrial" w:hAnsi="Questrial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851" w:firstLine="851"/>
              <w:jc w:val="right"/>
              <w:rPr>
                <w:rFonts w:ascii="Questrial" w:cs="Questrial" w:eastAsia="Questrial" w:hAnsi="Questrial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righ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São Paulo,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07 de setembro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 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esclarecer, os isentos para o Curso Remoto de Inglês para Desenvolvimento de Vocabulário foram os seguintes alunos: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2"/>
        <w:tblW w:w="7575.0" w:type="dxa"/>
        <w:jc w:val="left"/>
        <w:tblInd w:w="-5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40"/>
        <w:gridCol w:w="1620"/>
        <w:gridCol w:w="1815"/>
        <w:tblGridChange w:id="0">
          <w:tblGrid>
            <w:gridCol w:w="4140"/>
            <w:gridCol w:w="1620"/>
            <w:gridCol w:w="1815"/>
          </w:tblGrid>
        </w:tblGridChange>
      </w:tblGrid>
      <w:tr>
        <w:trPr>
          <w:trHeight w:val="260" w:hRule="atLeast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Aluno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Categoria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Situação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Isaac Matheus de Sousa Pereira</w:t>
            </w:r>
          </w:p>
        </w:tc>
        <w:tc>
          <w:tcPr>
            <w:shd w:fill="auto" w:val="clear"/>
            <w:tcMar>
              <w:top w:w="40.0" w:type="dxa"/>
              <w:left w:w="100.0" w:type="dxa"/>
              <w:bottom w:w="4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Discente</w:t>
            </w:r>
          </w:p>
        </w:tc>
        <w:tc>
          <w:tcPr>
            <w:shd w:fill="auto" w:val="clear"/>
            <w:tcMar>
              <w:top w:w="40.0" w:type="dxa"/>
              <w:left w:w="100.0" w:type="dxa"/>
              <w:bottom w:w="4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Isento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Isabella Ribeiro Borges</w:t>
            </w:r>
          </w:p>
        </w:tc>
        <w:tc>
          <w:tcPr>
            <w:shd w:fill="auto" w:val="clear"/>
            <w:tcMar>
              <w:top w:w="40.0" w:type="dxa"/>
              <w:left w:w="100.0" w:type="dxa"/>
              <w:bottom w:w="4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Discente</w:t>
            </w:r>
          </w:p>
        </w:tc>
        <w:tc>
          <w:tcPr>
            <w:shd w:fill="auto" w:val="clear"/>
            <w:tcMar>
              <w:top w:w="40.0" w:type="dxa"/>
              <w:left w:w="100.0" w:type="dxa"/>
              <w:bottom w:w="4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Isento</w:t>
            </w:r>
          </w:p>
        </w:tc>
      </w:tr>
      <w:tr>
        <w:trPr>
          <w:trHeight w:val="2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Marcelle Alcântara Vieira</w:t>
            </w:r>
          </w:p>
        </w:tc>
        <w:tc>
          <w:tcPr>
            <w:shd w:fill="auto" w:val="clear"/>
            <w:tcMar>
              <w:top w:w="40.0" w:type="dxa"/>
              <w:left w:w="100.0" w:type="dxa"/>
              <w:bottom w:w="4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Discente</w:t>
            </w:r>
          </w:p>
        </w:tc>
        <w:tc>
          <w:tcPr>
            <w:shd w:fill="auto" w:val="clear"/>
            <w:tcMar>
              <w:top w:w="40.0" w:type="dxa"/>
              <w:left w:w="100.0" w:type="dxa"/>
              <w:bottom w:w="4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Isento</w:t>
            </w:r>
          </w:p>
        </w:tc>
      </w:tr>
    </w:tbl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127000</wp:posOffset>
                </wp:positionV>
                <wp:extent cx="3171825" cy="222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60088" y="3780000"/>
                          <a:ext cx="31718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127000</wp:posOffset>
                </wp:positionV>
                <wp:extent cx="3171825" cy="22225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18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Secretária do Centro Interdepartamental de Línguas – FFLCH/US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</w:t>
      </w:r>
    </w:p>
    <w:sectPr>
      <w:pgSz w:h="16838" w:w="11906" w:orient="portrait"/>
      <w:pgMar w:bottom="1417" w:top="709" w:left="1701" w:right="17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Questrial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clinguas.fflch.usp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GTXGKFVoMZfuviylVAEqFfl8lw==">AMUW2mWcOLM5kcZOYLSLQD9DuNTRH8ECtMfgITilFb3tAA1wf+Qw9XeQDvKH5fZ8qSIa2Ks7G3CmAnVGtJv7q+D5ecbItHt8ijxfJJGjZ54c2pUQqPjW3AU=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