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9230" w14:textId="77777777" w:rsidR="00D514EC" w:rsidRDefault="00D514EC">
      <w:pPr>
        <w:spacing w:line="24" w:lineRule="auto"/>
      </w:pPr>
    </w:p>
    <w:sdt>
      <w:sdtPr>
        <w:tag w:val="goog_rdk_0"/>
        <w:id w:val="1386216102"/>
        <w:lock w:val="contentLocked"/>
      </w:sdtPr>
      <w:sdtEndPr/>
      <w:sdtContent>
        <w:tbl>
          <w:tblPr>
            <w:tblStyle w:val="aff2"/>
            <w:tblW w:w="11715" w:type="dxa"/>
            <w:tblInd w:w="-160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15"/>
          </w:tblGrid>
          <w:tr w:rsidR="00D514EC" w14:paraId="65B40F38" w14:textId="77777777">
            <w:trPr>
              <w:trHeight w:val="624"/>
            </w:trPr>
            <w:tc>
              <w:tcPr>
                <w:tcW w:w="11715" w:type="dxa"/>
                <w:tcBorders>
                  <w:top w:val="single" w:sz="8" w:space="0" w:color="F3F3F3"/>
                  <w:left w:val="single" w:sz="8" w:space="0" w:color="F3F3F3"/>
                  <w:bottom w:val="single" w:sz="8" w:space="0" w:color="F3F3F3"/>
                  <w:right w:val="single" w:sz="8" w:space="0" w:color="F3F3F3"/>
                </w:tcBorders>
                <w:shd w:val="clear" w:color="auto" w:fill="E1EDF7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CE197A" w14:textId="77777777" w:rsidR="00D514EC" w:rsidRDefault="00734C7E">
                <w:pPr>
                  <w:widowControl w:val="0"/>
                  <w:jc w:val="center"/>
                  <w:rPr>
                    <w:rFonts w:ascii="Century Gothic" w:eastAsia="Century Gothic" w:hAnsi="Century Gothic" w:cs="Century Gothic"/>
                    <w:b/>
                    <w:color w:val="003461"/>
                    <w:sz w:val="28"/>
                    <w:szCs w:val="28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color w:val="003461"/>
                    <w:sz w:val="28"/>
                    <w:szCs w:val="28"/>
                  </w:rPr>
                  <w:t>Programa dos Cursos</w:t>
                </w:r>
              </w:p>
            </w:tc>
          </w:tr>
          <w:tr w:rsidR="00D514EC" w14:paraId="1909A958" w14:textId="77777777">
            <w:tc>
              <w:tcPr>
                <w:tcW w:w="11715" w:type="dxa"/>
                <w:tcBorders>
                  <w:top w:val="single" w:sz="8" w:space="0" w:color="F3F3F3"/>
                  <w:left w:val="single" w:sz="8" w:space="0" w:color="F3F3F3"/>
                  <w:bottom w:val="single" w:sz="8" w:space="0" w:color="F3F3F3"/>
                  <w:right w:val="single" w:sz="8" w:space="0" w:color="F3F3F3"/>
                </w:tcBorders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B8D67F" w14:textId="77777777" w:rsidR="00D514EC" w:rsidRDefault="00734C7E">
                <w:pPr>
                  <w:widowControl w:val="0"/>
                  <w:jc w:val="center"/>
                  <w:rPr>
                    <w:rFonts w:ascii="Century Gothic" w:eastAsia="Century Gothic" w:hAnsi="Century Gothic" w:cs="Century Gothic"/>
                    <w:color w:val="003461"/>
                    <w:sz w:val="26"/>
                    <w:szCs w:val="26"/>
                  </w:rPr>
                </w:pPr>
                <w:r>
                  <w:rPr>
                    <w:rFonts w:ascii="Century Gothic" w:eastAsia="Century Gothic" w:hAnsi="Century Gothic" w:cs="Century Gothic"/>
                    <w:color w:val="003461"/>
                    <w:sz w:val="26"/>
                    <w:szCs w:val="26"/>
                  </w:rPr>
                  <w:t>1º semestre de 2025</w:t>
                </w:r>
              </w:p>
            </w:tc>
          </w:tr>
        </w:tbl>
      </w:sdtContent>
    </w:sdt>
    <w:p w14:paraId="22B25B54" w14:textId="77777777" w:rsidR="00D514EC" w:rsidRDefault="00D514EC">
      <w:pPr>
        <w:widowControl w:val="0"/>
        <w:rPr>
          <w:rFonts w:ascii="Arial" w:eastAsia="Arial" w:hAnsi="Arial" w:cs="Arial"/>
          <w:b/>
          <w:color w:val="002060"/>
          <w:sz w:val="38"/>
          <w:szCs w:val="38"/>
        </w:rPr>
      </w:pPr>
    </w:p>
    <w:tbl>
      <w:tblPr>
        <w:tblStyle w:val="aff3"/>
        <w:tblW w:w="10980" w:type="dxa"/>
        <w:tblInd w:w="-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6810"/>
      </w:tblGrid>
      <w:tr w:rsidR="00D514EC" w14:paraId="1956A8ED" w14:textId="77777777">
        <w:trPr>
          <w:trHeight w:val="1200"/>
        </w:trPr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E1EDF7"/>
          </w:tcPr>
          <w:p w14:paraId="2F666E7F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Título do Curso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E1EDF7"/>
          </w:tcPr>
          <w:p w14:paraId="07A9D4D5" w14:textId="77777777" w:rsidR="00D514EC" w:rsidRDefault="00734C7E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 xml:space="preserve">Francês para Engenharia na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Poli-USP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: preparação às interações orais entre estudantes nas escolas de engenharia francesas</w:t>
            </w:r>
          </w:p>
        </w:tc>
      </w:tr>
      <w:tr w:rsidR="00D514EC" w14:paraId="0DBFE24E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2C9B52C2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Apresentação do Curso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5DC29AF7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A internacionalização na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Poli-USP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desenvolveu-se progressivamente por meio de acordos de cooperação com vários p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aíses, possibilitando a mobilidade de seus estudantes para realizar uma parte de seus estudos em uma Instituição de Ensino Superior (IES) estrangeira. Um dos países que mais concretizou os programas de mobilidade, foi a França, país com o qual a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Poli-USP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em vários acordos de cooperação internacional, notadamente, com as Escolas de Engenharia para o programa de Duplo diploma. Desde o início, o Centro Interdepartamental de Línguas da FFLCH participou da formação de estudantes da Poli para intercâmbios em uni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versidades francesas e para o Duplo diploma por meio de um programa de ensino na área do Francês para Objetivo Universitário (FOU) para Engenharia, voltado às especificidades linguístico-discursivas e interculturais necessárias aos estudantes que preparam 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esses programas de mobilidade. O objetivo geral é o de desenvolver competências específicas orais e escritas para a inserção, adaptação e realização dos programas em contexto universitário francês. Nesse contexto, com o advento da Internet e o uso de tecno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logias, a formação síncrona online se tornou uma possibilidade para dar continuidade à formação desses estudantes e se mostra inovadora no âmbito das ações de internacionalização da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Poli-USP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com a França.</w:t>
            </w:r>
          </w:p>
        </w:tc>
      </w:tr>
      <w:tr w:rsidR="00D514EC" w14:paraId="1AF2AC25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5598562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Docente Responsável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265EB92D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Profa. Dra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. Heloisa Brito de Albuquerque Costa</w:t>
            </w:r>
          </w:p>
        </w:tc>
      </w:tr>
      <w:tr w:rsidR="00D514EC" w14:paraId="3D52941E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AC2D524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lastRenderedPageBreak/>
              <w:t>Nº USP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4F77ADC7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760749 </w:t>
            </w:r>
          </w:p>
        </w:tc>
      </w:tr>
      <w:tr w:rsidR="00D514EC" w14:paraId="67710DD1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24092129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Ministrante(s)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0D49E8B5" w14:textId="700BE6F3" w:rsidR="00D514EC" w:rsidRDefault="00734C7E">
            <w:pPr>
              <w:tabs>
                <w:tab w:val="left" w:pos="252"/>
              </w:tabs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Profa. </w:t>
            </w:r>
            <w:proofErr w:type="spellStart"/>
            <w:r w:rsidR="00EE1D53" w:rsidRPr="00EE1D53"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Hyanna</w:t>
            </w:r>
            <w:proofErr w:type="spellEnd"/>
            <w:r w:rsidR="00EE1D53" w:rsidRPr="00EE1D53"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de Medeiros</w:t>
            </w:r>
          </w:p>
        </w:tc>
      </w:tr>
      <w:tr w:rsidR="00D514EC" w14:paraId="1FEDC79C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772BEF40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Público-alvo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B8672C4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Estudantes da Escola Politécnica da USP. Nível B1 </w:t>
            </w:r>
          </w:p>
        </w:tc>
      </w:tr>
      <w:tr w:rsidR="00D514EC" w14:paraId="62B6C1A9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000F6FA3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Carga horária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B3A6A06" w14:textId="77777777" w:rsidR="00D514EC" w:rsidRDefault="00734C7E">
            <w:pPr>
              <w:spacing w:before="200" w:line="276" w:lineRule="auto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12 horas (1h30 por encontro – 8 semanas) + 3 horas assíncronas </w:t>
            </w:r>
          </w:p>
          <w:p w14:paraId="3B024FA8" w14:textId="77777777" w:rsidR="00D514EC" w:rsidRDefault="00734C7E">
            <w:pPr>
              <w:spacing w:before="200" w:line="276" w:lineRule="auto"/>
              <w:jc w:val="both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Total da carga horária – </w:t>
            </w: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 xml:space="preserve">15 horas </w:t>
            </w:r>
          </w:p>
        </w:tc>
      </w:tr>
      <w:tr w:rsidR="00D514EC" w14:paraId="01024523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830643D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Modalidade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3822498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Modalidade </w:t>
            </w: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 xml:space="preserve">remota 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– aulas síncronas pela Plataforma zoom</w:t>
            </w:r>
          </w:p>
          <w:p w14:paraId="02C2AA0C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Atividades assíncronas pela Plataforma Moodle</w:t>
            </w:r>
          </w:p>
        </w:tc>
      </w:tr>
      <w:tr w:rsidR="00D514EC" w14:paraId="0B607C32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4F22FABA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Período de oferecimento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0BF98616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 xml:space="preserve">4ª feira, </w:t>
            </w:r>
            <w:r w:rsidRPr="00942124"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11h-12h</w:t>
            </w:r>
            <w:r w:rsidRPr="00942124"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 xml:space="preserve">30 </w:t>
            </w:r>
          </w:p>
          <w:p w14:paraId="7E99BC86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Início:  02/04/2025</w:t>
            </w:r>
          </w:p>
          <w:p w14:paraId="6AE26C45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Término: 28/05/2025</w:t>
            </w:r>
          </w:p>
        </w:tc>
      </w:tr>
      <w:tr w:rsidR="00D514EC" w14:paraId="1672EF64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0F8937A6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Objetivos Gerais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E289899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Desenvolver a competência interacional oral em língua francesa em contexto de preparação à mobilidade acadêmica para a realização de estudos na França para estudantes de da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Poli-USP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.</w:t>
            </w:r>
          </w:p>
        </w:tc>
      </w:tr>
      <w:tr w:rsidR="00D514EC" w14:paraId="5F60317B" w14:textId="77777777">
        <w:trPr>
          <w:trHeight w:val="3435"/>
        </w:trPr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52567F95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lastRenderedPageBreak/>
              <w:t>Objetivos Específicos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5B695011" w14:textId="77777777" w:rsidR="00D514EC" w:rsidRDefault="00734C7E">
            <w:pPr>
              <w:numPr>
                <w:ilvl w:val="0"/>
                <w:numId w:val="1"/>
              </w:numPr>
              <w:spacing w:after="1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Praticar e desenvolver a competência oral em língua francesa </w:t>
            </w:r>
          </w:p>
          <w:p w14:paraId="72318D51" w14:textId="77777777" w:rsidR="00D514EC" w:rsidRDefault="00734C7E">
            <w:pPr>
              <w:numPr>
                <w:ilvl w:val="0"/>
                <w:numId w:val="1"/>
              </w:numPr>
              <w:spacing w:after="1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Compreender a organização do ensino nas escolas de engenharia francesas </w:t>
            </w:r>
          </w:p>
          <w:p w14:paraId="720740E7" w14:textId="77777777" w:rsidR="00D514EC" w:rsidRDefault="00734C7E">
            <w:pPr>
              <w:numPr>
                <w:ilvl w:val="0"/>
                <w:numId w:val="1"/>
              </w:numPr>
              <w:spacing w:after="1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Compreender interações orais entre estudantes de engenharia </w:t>
            </w:r>
          </w:p>
          <w:p w14:paraId="1B51CE17" w14:textId="77777777" w:rsidR="00D514EC" w:rsidRDefault="00734C7E">
            <w:pPr>
              <w:numPr>
                <w:ilvl w:val="0"/>
                <w:numId w:val="1"/>
              </w:numPr>
              <w:spacing w:after="1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Identificar as marcas do discurso falado espontâneo nas inte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rações entre estudantes  </w:t>
            </w:r>
          </w:p>
          <w:p w14:paraId="2C5BF8B0" w14:textId="77777777" w:rsidR="00D514EC" w:rsidRDefault="00734C7E">
            <w:pPr>
              <w:numPr>
                <w:ilvl w:val="0"/>
                <w:numId w:val="1"/>
              </w:numPr>
              <w:spacing w:after="1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Mobilizar o léxico da engenharia e as marcas do discurso falado espontâneo em francês para interagir com outros estudantes </w:t>
            </w:r>
          </w:p>
        </w:tc>
      </w:tr>
      <w:tr w:rsidR="00D514EC" w14:paraId="207C4519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085728B5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Justificativa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2C1663F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O curso se justifica no contexto de internacionalização da USP e dos programas de mobilidade acadêmica da Escola Politécnica da USP.  Além disso, o curso está inserido no contexto de formação de professores de francês que se interessam em aprofundar seus e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studos de ensino e aprendizagem de língua francesa na área do Francês para Objetivo Universitário (FOU).</w:t>
            </w:r>
          </w:p>
        </w:tc>
      </w:tr>
      <w:tr w:rsidR="00D514EC" w14:paraId="3879E0D0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5A738B20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Conteúdo Programático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DAD2990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1. Modalidades de aula nas escolas de engenharia francesas</w:t>
            </w:r>
          </w:p>
          <w:p w14:paraId="1720321C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2. Campo lexical das engenharias  </w:t>
            </w:r>
          </w:p>
          <w:p w14:paraId="492F29DF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3. Marcas do discurso falado espontâneo em francês </w:t>
            </w:r>
          </w:p>
          <w:p w14:paraId="316637B7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4. Articulações lógicas em francês </w:t>
            </w:r>
          </w:p>
          <w:p w14:paraId="397429F1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3461"/>
                <w:sz w:val="22"/>
                <w:szCs w:val="22"/>
              </w:rPr>
              <w:t>Élisions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346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3461"/>
                <w:sz w:val="22"/>
                <w:szCs w:val="22"/>
              </w:rPr>
              <w:t>enchaînements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color w:val="003461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color w:val="003461"/>
                <w:sz w:val="22"/>
                <w:szCs w:val="22"/>
              </w:rPr>
              <w:t>liaisons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no discurso falado</w:t>
            </w:r>
          </w:p>
        </w:tc>
      </w:tr>
      <w:tr w:rsidR="00D514EC" w14:paraId="3DBF2584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36B2525F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Metodologia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720ED2F0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O curso será ministrado via ensino remoto e a metodologia adotada apoiada nas interações realizada</w:t>
            </w: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s nas aulas síncronas e nos trabalhos em pequenos grupos.</w:t>
            </w:r>
          </w:p>
        </w:tc>
      </w:tr>
      <w:tr w:rsidR="00D514EC" w14:paraId="2ECD8104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90F1B2F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Avaliação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0392B8F0" w14:textId="77777777" w:rsidR="00D514EC" w:rsidRDefault="00734C7E">
            <w:pPr>
              <w:tabs>
                <w:tab w:val="left" w:pos="-72"/>
              </w:tabs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A avaliação do curso será feita por meio da participação e da realização das atividades síncronas e assíncronas, orientadas pelas professoras. </w:t>
            </w:r>
          </w:p>
        </w:tc>
      </w:tr>
      <w:tr w:rsidR="00D514EC" w14:paraId="2FD4B476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CDB4847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lastRenderedPageBreak/>
              <w:t xml:space="preserve">Critérios para aprovação 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23708CC2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Os participantes devem obter a nota mínima 7,0 para aprovação no curso </w:t>
            </w:r>
          </w:p>
        </w:tc>
      </w:tr>
      <w:tr w:rsidR="00D514EC" w14:paraId="7E986772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0E1BDF5F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Frequência mínima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5E550472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75%</w:t>
            </w:r>
          </w:p>
        </w:tc>
      </w:tr>
      <w:tr w:rsidR="00D514EC" w14:paraId="6FFC3EF7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37C57F0B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Oferecimento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2EA7A1F0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Plataforma Zoom e Plataforma Moodle  </w:t>
            </w:r>
          </w:p>
        </w:tc>
      </w:tr>
      <w:tr w:rsidR="00D514EC" w14:paraId="2FED20DA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3B086E36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Número de vagas por turma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4D78D76C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25 vagas</w:t>
            </w:r>
          </w:p>
        </w:tc>
      </w:tr>
      <w:tr w:rsidR="00D514EC" w14:paraId="1BD54F41" w14:textId="77777777">
        <w:trPr>
          <w:trHeight w:val="1500"/>
        </w:trPr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37122423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Pré-Requisitos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4E011D7E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Apresentar o comprovante de matrícula na Escola Politécnica e um certificado ou autodeclaração sobre os conhecimentos em língua francesa.</w:t>
            </w:r>
          </w:p>
        </w:tc>
      </w:tr>
      <w:tr w:rsidR="00D514EC" w14:paraId="3CADB776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14E3A57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Teste de nível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1121119F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Sim. Entrevista oral online com as professoras. Horário a ser agendado após a confirmação das inscrições. Os inscritos receberão um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email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para o agendamento.</w:t>
            </w:r>
          </w:p>
        </w:tc>
      </w:tr>
      <w:tr w:rsidR="00D514EC" w14:paraId="08CD2C5E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F63F445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Bibliografia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89EE311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MANGIANTE ;</w:t>
            </w:r>
            <w:proofErr w:type="gram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PARPETTE. Français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sur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objectif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universitaire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, 2011.</w:t>
            </w:r>
          </w:p>
          <w:p w14:paraId="3279E183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CARRAS ;</w:t>
            </w:r>
            <w:proofErr w:type="gram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EDWIRGZ ; TOLAS.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Réussir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ses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études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d’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ingénieurs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en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français</w:t>
            </w:r>
            <w:proofErr w:type="spellEnd"/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, 2014.</w:t>
            </w:r>
          </w:p>
        </w:tc>
      </w:tr>
      <w:tr w:rsidR="00D514EC" w14:paraId="793DE70D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422BDA74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Bibliografia complementar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276878D9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Dicionários Online:</w:t>
            </w:r>
          </w:p>
          <w:p w14:paraId="6DF0D51A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sz w:val="22"/>
                  <w:szCs w:val="22"/>
                  <w:u w:val="single"/>
                </w:rPr>
                <w:t>https://www.cnrtl.fr/</w:t>
              </w:r>
            </w:hyperlink>
          </w:p>
          <w:p w14:paraId="4B2C3018" w14:textId="77777777" w:rsidR="00D514EC" w:rsidRDefault="00734C7E">
            <w:pPr>
              <w:spacing w:before="200" w:after="200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sz w:val="22"/>
                  <w:szCs w:val="22"/>
                  <w:u w:val="single"/>
                </w:rPr>
                <w:t>https://www.larousse.fr/</w:t>
              </w:r>
            </w:hyperlink>
          </w:p>
        </w:tc>
      </w:tr>
      <w:tr w:rsidR="00D514EC" w14:paraId="4327EC4D" w14:textId="77777777">
        <w:tc>
          <w:tcPr>
            <w:tcW w:w="417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56D5D1DC" w14:textId="77777777" w:rsidR="00D514EC" w:rsidRDefault="00734C7E">
            <w:pPr>
              <w:tabs>
                <w:tab w:val="left" w:pos="345"/>
              </w:tabs>
              <w:spacing w:before="200" w:line="480" w:lineRule="auto"/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lastRenderedPageBreak/>
              <w:t>In</w:t>
            </w:r>
            <w:r>
              <w:rPr>
                <w:rFonts w:ascii="Century Gothic" w:eastAsia="Century Gothic" w:hAnsi="Century Gothic" w:cs="Century Gothic"/>
                <w:b/>
                <w:color w:val="003461"/>
                <w:sz w:val="22"/>
                <w:szCs w:val="22"/>
              </w:rPr>
              <w:t>formação Relevante</w:t>
            </w:r>
          </w:p>
        </w:tc>
        <w:tc>
          <w:tcPr>
            <w:tcW w:w="6810" w:type="dxa"/>
            <w:tcBorders>
              <w:top w:val="single" w:sz="4" w:space="0" w:color="BADAF6"/>
              <w:left w:val="single" w:sz="4" w:space="0" w:color="BADAF6"/>
              <w:bottom w:val="single" w:sz="4" w:space="0" w:color="BADAF6"/>
              <w:right w:val="single" w:sz="4" w:space="0" w:color="BADAF6"/>
            </w:tcBorders>
            <w:shd w:val="clear" w:color="auto" w:fill="auto"/>
          </w:tcPr>
          <w:p w14:paraId="63E0D3BD" w14:textId="77777777" w:rsidR="00D514EC" w:rsidRDefault="00734C7E">
            <w:pPr>
              <w:spacing w:before="200" w:after="200"/>
              <w:jc w:val="both"/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3461"/>
                <w:sz w:val="22"/>
                <w:szCs w:val="22"/>
              </w:rPr>
              <w:t>O curso será ministrado em língua francesa, na modalidade remota e o material didático será disponibilizado durante as aulas e na plataforma Moodle.</w:t>
            </w:r>
          </w:p>
        </w:tc>
      </w:tr>
    </w:tbl>
    <w:p w14:paraId="6DA11C5D" w14:textId="77777777" w:rsidR="00D514EC" w:rsidRDefault="00D514EC">
      <w:pPr>
        <w:spacing w:after="200" w:line="276" w:lineRule="auto"/>
        <w:rPr>
          <w:rFonts w:ascii="Arial" w:eastAsia="Arial" w:hAnsi="Arial" w:cs="Arial"/>
          <w:b/>
          <w:sz w:val="36"/>
          <w:szCs w:val="36"/>
        </w:rPr>
      </w:pPr>
    </w:p>
    <w:sectPr w:rsidR="00D514EC">
      <w:headerReference w:type="default" r:id="rId10"/>
      <w:footerReference w:type="default" r:id="rId11"/>
      <w:pgSz w:w="11906" w:h="16838"/>
      <w:pgMar w:top="0" w:right="860" w:bottom="0" w:left="1701" w:header="2310" w:footer="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596D" w14:textId="77777777" w:rsidR="00734C7E" w:rsidRDefault="00734C7E">
      <w:r>
        <w:separator/>
      </w:r>
    </w:p>
  </w:endnote>
  <w:endnote w:type="continuationSeparator" w:id="0">
    <w:p w14:paraId="42B8AA5A" w14:textId="77777777" w:rsidR="00734C7E" w:rsidRDefault="007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3533" w14:textId="77777777" w:rsidR="00D514EC" w:rsidRDefault="00734C7E">
    <w:pPr>
      <w:jc w:val="right"/>
      <w:rPr>
        <w:rFonts w:ascii="Century Gothic" w:eastAsia="Century Gothic" w:hAnsi="Century Gothic" w:cs="Century Gothic"/>
        <w:color w:val="003166"/>
        <w:sz w:val="20"/>
        <w:szCs w:val="20"/>
      </w:rPr>
    </w:pPr>
    <w:r>
      <w:rPr>
        <w:rFonts w:ascii="Century Gothic" w:eastAsia="Century Gothic" w:hAnsi="Century Gothic" w:cs="Century Gothic"/>
        <w:color w:val="003166"/>
        <w:sz w:val="20"/>
        <w:szCs w:val="20"/>
      </w:rPr>
      <w:t>Av. Prof. Lineu Prestes, 159 - Cidade Universitária, São Paulo - SP</w:t>
    </w:r>
  </w:p>
  <w:p w14:paraId="50A0CD74" w14:textId="77777777" w:rsidR="00D514EC" w:rsidRDefault="00734C7E">
    <w:pPr>
      <w:jc w:val="right"/>
      <w:rPr>
        <w:rFonts w:ascii="Century Gothic" w:eastAsia="Century Gothic" w:hAnsi="Century Gothic" w:cs="Century Gothic"/>
        <w:color w:val="003166"/>
        <w:sz w:val="20"/>
        <w:szCs w:val="20"/>
      </w:rPr>
    </w:pPr>
    <w:r>
      <w:rPr>
        <w:rFonts w:ascii="Century Gothic" w:eastAsia="Century Gothic" w:hAnsi="Century Gothic" w:cs="Century Gothic"/>
        <w:color w:val="003166"/>
        <w:sz w:val="20"/>
        <w:szCs w:val="20"/>
      </w:rPr>
      <w:t>Casa de Cultura Japonesa, Sala 5 (CEP: 05508-000)</w:t>
    </w:r>
  </w:p>
  <w:p w14:paraId="43F6B295" w14:textId="77777777" w:rsidR="00D514EC" w:rsidRDefault="00734C7E">
    <w:pPr>
      <w:jc w:val="right"/>
      <w:rPr>
        <w:rFonts w:ascii="Century Gothic" w:eastAsia="Century Gothic" w:hAnsi="Century Gothic" w:cs="Century Gothic"/>
        <w:color w:val="003166"/>
        <w:sz w:val="20"/>
        <w:szCs w:val="20"/>
      </w:rPr>
    </w:pPr>
    <w:r>
      <w:rPr>
        <w:rFonts w:ascii="Century Gothic" w:eastAsia="Century Gothic" w:hAnsi="Century Gothic" w:cs="Century Gothic"/>
        <w:b/>
        <w:color w:val="003166"/>
        <w:sz w:val="20"/>
        <w:szCs w:val="20"/>
      </w:rPr>
      <w:t>Site:</w:t>
    </w:r>
    <w:r>
      <w:rPr>
        <w:rFonts w:ascii="Century Gothic" w:eastAsia="Century Gothic" w:hAnsi="Century Gothic" w:cs="Century Gothic"/>
        <w:color w:val="003166"/>
        <w:sz w:val="20"/>
        <w:szCs w:val="20"/>
      </w:rPr>
      <w:t xml:space="preserve"> www.clinguas.fflch.usp.br</w:t>
    </w:r>
  </w:p>
  <w:p w14:paraId="6A2DD6FE" w14:textId="77777777" w:rsidR="00D514EC" w:rsidRDefault="00734C7E">
    <w:pPr>
      <w:jc w:val="right"/>
      <w:rPr>
        <w:rFonts w:ascii="Century Gothic" w:eastAsia="Century Gothic" w:hAnsi="Century Gothic" w:cs="Century Gothic"/>
        <w:color w:val="003166"/>
        <w:sz w:val="20"/>
        <w:szCs w:val="20"/>
      </w:rPr>
    </w:pPr>
    <w:r>
      <w:rPr>
        <w:rFonts w:ascii="Century Gothic" w:eastAsia="Century Gothic" w:hAnsi="Century Gothic" w:cs="Century Gothic"/>
        <w:b/>
        <w:color w:val="003166"/>
        <w:sz w:val="20"/>
        <w:szCs w:val="20"/>
      </w:rPr>
      <w:t>E-mail:</w:t>
    </w:r>
    <w:r>
      <w:rPr>
        <w:rFonts w:ascii="Century Gothic" w:eastAsia="Century Gothic" w:hAnsi="Century Gothic" w:cs="Century Gothic"/>
        <w:color w:val="003166"/>
        <w:sz w:val="20"/>
        <w:szCs w:val="20"/>
      </w:rPr>
      <w:t xml:space="preserve"> clinguas@usp.br </w:t>
    </w:r>
  </w:p>
  <w:p w14:paraId="7B9DB872" w14:textId="77777777" w:rsidR="00D514EC" w:rsidRDefault="00734C7E">
    <w:pPr>
      <w:jc w:val="right"/>
      <w:rPr>
        <w:rFonts w:ascii="Century Gothic" w:eastAsia="Century Gothic" w:hAnsi="Century Gothic" w:cs="Century Gothic"/>
        <w:color w:val="003166"/>
        <w:sz w:val="20"/>
        <w:szCs w:val="20"/>
      </w:rPr>
    </w:pPr>
    <w:proofErr w:type="spellStart"/>
    <w:r>
      <w:rPr>
        <w:rFonts w:ascii="Century Gothic" w:eastAsia="Century Gothic" w:hAnsi="Century Gothic" w:cs="Century Gothic"/>
        <w:b/>
        <w:color w:val="003166"/>
        <w:sz w:val="20"/>
        <w:szCs w:val="20"/>
      </w:rPr>
      <w:t>Tel</w:t>
    </w:r>
    <w:proofErr w:type="spellEnd"/>
    <w:r>
      <w:rPr>
        <w:rFonts w:ascii="Century Gothic" w:eastAsia="Century Gothic" w:hAnsi="Century Gothic" w:cs="Century Gothic"/>
        <w:b/>
        <w:color w:val="003166"/>
        <w:sz w:val="20"/>
        <w:szCs w:val="20"/>
      </w:rPr>
      <w:t>:</w:t>
    </w:r>
    <w:r>
      <w:rPr>
        <w:rFonts w:ascii="Century Gothic" w:eastAsia="Century Gothic" w:hAnsi="Century Gothic" w:cs="Century Gothic"/>
        <w:color w:val="003166"/>
        <w:sz w:val="20"/>
        <w:szCs w:val="20"/>
      </w:rPr>
      <w:t xml:space="preserve"> (11) 3091-2416</w:t>
    </w:r>
  </w:p>
  <w:p w14:paraId="6CB9D603" w14:textId="77777777" w:rsidR="00D514EC" w:rsidRDefault="00D514EC">
    <w:pPr>
      <w:jc w:val="center"/>
      <w:rPr>
        <w:rFonts w:ascii="Century Gothic" w:eastAsia="Century Gothic" w:hAnsi="Century Gothic" w:cs="Century Gothic"/>
        <w:sz w:val="22"/>
        <w:szCs w:val="22"/>
      </w:rPr>
    </w:pPr>
  </w:p>
  <w:p w14:paraId="305420CF" w14:textId="77777777" w:rsidR="00D514EC" w:rsidRDefault="00D51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4DDA" w14:textId="77777777" w:rsidR="00734C7E" w:rsidRDefault="00734C7E">
      <w:r>
        <w:separator/>
      </w:r>
    </w:p>
  </w:footnote>
  <w:footnote w:type="continuationSeparator" w:id="0">
    <w:p w14:paraId="4D2F728D" w14:textId="77777777" w:rsidR="00734C7E" w:rsidRDefault="0073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5F1C" w14:textId="77777777" w:rsidR="00D514EC" w:rsidRDefault="00734C7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D74759" wp14:editId="1CD8F4F4">
          <wp:simplePos x="0" y="0"/>
          <wp:positionH relativeFrom="column">
            <wp:posOffset>-647690</wp:posOffset>
          </wp:positionH>
          <wp:positionV relativeFrom="paragraph">
            <wp:posOffset>-1181089</wp:posOffset>
          </wp:positionV>
          <wp:extent cx="1862395" cy="757238"/>
          <wp:effectExtent l="0" t="0" r="0" b="0"/>
          <wp:wrapSquare wrapText="bothSides" distT="114300" distB="114300" distL="114300" distR="114300"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395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A3A0364" wp14:editId="2EA0E97F">
          <wp:simplePos x="0" y="0"/>
          <wp:positionH relativeFrom="column">
            <wp:posOffset>4257675</wp:posOffset>
          </wp:positionH>
          <wp:positionV relativeFrom="paragraph">
            <wp:posOffset>-1181089</wp:posOffset>
          </wp:positionV>
          <wp:extent cx="1744545" cy="570942"/>
          <wp:effectExtent l="0" t="0" r="0" b="0"/>
          <wp:wrapSquare wrapText="bothSides" distT="114300" distB="114300" distL="114300" distR="11430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45" cy="570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E2A82A1" wp14:editId="6FE23DFE">
          <wp:simplePos x="0" y="0"/>
          <wp:positionH relativeFrom="column">
            <wp:posOffset>1987544</wp:posOffset>
          </wp:positionH>
          <wp:positionV relativeFrom="paragraph">
            <wp:posOffset>-1181089</wp:posOffset>
          </wp:positionV>
          <wp:extent cx="1234717" cy="814388"/>
          <wp:effectExtent l="0" t="0" r="0" b="0"/>
          <wp:wrapSquare wrapText="bothSides" distT="114300" distB="114300" distL="114300" distR="114300"/>
          <wp:docPr id="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717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BE9CA6" w14:textId="77777777" w:rsidR="00D514EC" w:rsidRDefault="00D51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9C8"/>
    <w:multiLevelType w:val="multilevel"/>
    <w:tmpl w:val="D846B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EC"/>
    <w:rsid w:val="00734C7E"/>
    <w:rsid w:val="00942124"/>
    <w:rsid w:val="00D514EC"/>
    <w:rsid w:val="00E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02CB"/>
  <w15:docId w15:val="{6590F5C6-104F-4259-B3CB-FC54CCF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f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rtl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nrtl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PbGvJ0114r21D7NOYTqk49b+A==">CgMxLjAaHwoBMBIaChgICVIUChJ0YWJsZS40cmgzM3Bkcm1ydzgyCGguZ2pkZ3hzMgloLjMwajB6bGw4AHIhMWc4MHZIeXliOFVER1VZVFp0VGw1cW44aExqSXNLXzBw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Henrique TK</cp:lastModifiedBy>
  <cp:revision>2</cp:revision>
  <dcterms:created xsi:type="dcterms:W3CDTF">2025-03-06T21:06:00Z</dcterms:created>
  <dcterms:modified xsi:type="dcterms:W3CDTF">2025-03-06T21:52:00Z</dcterms:modified>
</cp:coreProperties>
</file>