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0"/>
        <w:tblGridChange w:id="0">
          <w:tblGrid>
            <w:gridCol w:w="89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NOME DA OFICINA: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Passaporte para o Espanhol: Primeiros Passos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Coordenadora:  Profª Drª Mônica Ferreira Mayrink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5">
            <w:pPr>
              <w:jc w:val="both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Ministrantes: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Alaine Lizandra José Santos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 e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Thais Gonzaga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Dia(s) da semana(s):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Segunda e Quarta-feira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Horários: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17h - 18h30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Local: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plataforma virtual (Google Meet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e Moodle)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Carga horária total da oficina: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15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Data de início: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 16/05/2022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Data de término: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 15/06/2022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Público-alvo: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Comunidade USP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Nº de vagas: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 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Aberta ao público externo?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Quantidade de vagas destinadas ao público externo: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Tem monitor?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Beatriz de Jesus Correa e Maria Luiza Souza Moreira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Especificar o material que será utilizado (multimídia? xerox? etc):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Computador ou outro dispositivo que permita o acesso ao Google Meet, conexão à internet, teclado para chat; câmera e microfone.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Valor Comunidade USP: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 Gratuito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Valor Público Externo: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 Gratuito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Obs. Informar calendário detalhado de inscrição</w:t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1 – Programa da oficina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Conteúdos comunicativos: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Expressões básicas de comunicação: saudações, despedidas e apresentações (identificação pessoal, origem, profissão, etc)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Expressão de ideias relativas ao cotidiano: âmbito pessoal, familiar, acadêmico e profissional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Expressão de gostos e hobbies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Descrição de espaços físicos (a cidade, a residência,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Conteúdos linguísticos: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Alfabeto, sons e pronúncia do espanhol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Numerais cardinais e ordinais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Artigos definidos, indefinidos e contrações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Pronomes pessoais e formas de tratamento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Pronomes possessivos e demonstrativos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Presente do indicativo: verbos regulares e irregulares; verbo “gustar”;  verbos “tener” e “haber”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Léxico: países, nomes de lugares e estabelecimentos, profissões, atividades de lazer, objetos, esportes e outros</w:t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2 – Objetivo geral:</w:t>
      </w:r>
    </w:p>
    <w:p w:rsidR="00000000" w:rsidDel="00000000" w:rsidP="00000000" w:rsidRDefault="00000000" w:rsidRPr="00000000" w14:paraId="0000002C">
      <w:pPr>
        <w:spacing w:line="360" w:lineRule="auto"/>
        <w:ind w:firstLine="72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Propiciar à comunidade acadêmica um contato inicial com os estudos da língua espanhola, capacitando os estudantes a compreenderem conteúdos básicos do idioma, de acordo com diferentes contextos de uso, com foco especial na oralidade. O curso pretende despertar o interesse do aluno para que dê sequência aos estudos de forma mais aprofundada. </w:t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20" w:line="276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3 – Datas das aulas</w:t>
      </w:r>
    </w:p>
    <w:p w:rsidR="00000000" w:rsidDel="00000000" w:rsidP="00000000" w:rsidRDefault="00000000" w:rsidRPr="00000000" w14:paraId="0000002F">
      <w:pPr>
        <w:spacing w:before="120" w:line="276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20" w:line="276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20" w:line="276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4 – Bibliografia</w:t>
      </w:r>
    </w:p>
    <w:p w:rsidR="00000000" w:rsidDel="00000000" w:rsidP="00000000" w:rsidRDefault="00000000" w:rsidRPr="00000000" w14:paraId="00000032">
      <w:pPr>
        <w:spacing w:before="12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FANJUL, A. Gramática y Práctica de Español para Brasileños / Adrián Fanjul (org.), Martín Russo, Neide Elias, Stella Baygorria. São Paulo: Moderna, 2005.</w:t>
      </w:r>
    </w:p>
    <w:p w:rsidR="00000000" w:rsidDel="00000000" w:rsidP="00000000" w:rsidRDefault="00000000" w:rsidRPr="00000000" w14:paraId="00000033">
      <w:pPr>
        <w:spacing w:before="12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RAE (2001). Diccionario de la lengua española, 22ª edição. Disponível em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u w:val="single"/>
            <w:rtl w:val="0"/>
          </w:rPr>
          <w:t xml:space="preserve">https://dle.rae.es/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rFonts w:ascii="Century Gothic" w:cs="Century Gothic" w:eastAsia="Century Gothic" w:hAnsi="Century Gothic"/>
        <w:color w:val="808080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808080"/>
        <w:sz w:val="16"/>
        <w:szCs w:val="16"/>
        <w:rtl w:val="0"/>
      </w:rPr>
      <w:t xml:space="preserve">Centro de Línguas da Faculdade de Filosofia, Letras e Ciências Humanas - USP</w:t>
      <w:br w:type="textWrapping"/>
    </w:r>
    <w:r w:rsidDel="00000000" w:rsidR="00000000" w:rsidRPr="00000000">
      <w:rPr>
        <w:rFonts w:ascii="Century Gothic" w:cs="Century Gothic" w:eastAsia="Century Gothic" w:hAnsi="Century Gothic"/>
        <w:color w:val="808080"/>
        <w:sz w:val="16"/>
        <w:szCs w:val="16"/>
        <w:rtl w:val="0"/>
      </w:rPr>
      <w:t xml:space="preserve">Av. Prof. Lineu Prestes, nº 159 (Casa de Cultura Japonesa) – Sala 5 - Subsolo</w:t>
      <w:br w:type="textWrapping"/>
      <w:t xml:space="preserve">Cidade Universitária – São Paulo-SP</w:t>
      <w:br w:type="textWrapping"/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-54605</wp:posOffset>
          </wp:positionV>
          <wp:extent cx="1141730" cy="514985"/>
          <wp:effectExtent b="0" l="0" r="0" t="0"/>
          <wp:wrapSquare wrapText="bothSides" distB="0" distT="0" distL="114935" distR="114935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730" cy="514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-size-large" w:customStyle="1">
    <w:name w:val="a-size-large"/>
    <w:basedOn w:val="Fontepargpadro"/>
    <w:rsid w:val="00F44CE0"/>
  </w:style>
  <w:style w:type="paragraph" w:styleId="western" w:customStyle="1">
    <w:name w:val="western"/>
    <w:basedOn w:val="Normal"/>
    <w:rsid w:val="003A7D49"/>
    <w:pPr>
      <w:spacing w:after="119" w:before="100" w:beforeAutospacing="1" w:line="276" w:lineRule="auto"/>
    </w:pPr>
    <w:rPr>
      <w:rFonts w:ascii="Calibri" w:hAnsi="Calibri"/>
      <w:color w:val="000000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 w:val="1"/>
    <w:rsid w:val="000C536E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A3706E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AA6C3C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AE0E2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le.rae.es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DwsuEmfiFEdBPvCRgd1b7ehzxQ==">AMUW2mUNwxNrUe5Ppg7Cjpwlx0GcLMbjkSHasCMAL1L2eRzHychmOBNRWNeBdtVjXYEtoVm+EnX70yhZuQP9TMHa/HNbPHj9bNVJ3lGOWRyH/4xP4lJ0x42bFP/63D9Xz3mJancSIXzQ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2019-05-13T20:21:00Z</dcterms:created>
  <dc:creator>Fatima</dc:creator>
</cp:coreProperties>
</file>