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FD62" w14:textId="77777777" w:rsidR="002055BB" w:rsidRDefault="000E6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2060"/>
          <w:sz w:val="38"/>
          <w:szCs w:val="38"/>
        </w:rPr>
      </w:pPr>
      <w:r>
        <w:rPr>
          <w:rFonts w:ascii="Arial" w:eastAsia="Arial" w:hAnsi="Arial" w:cs="Arial"/>
          <w:b/>
          <w:color w:val="002060"/>
          <w:sz w:val="38"/>
          <w:szCs w:val="38"/>
        </w:rPr>
        <w:t xml:space="preserve">Programa Curso </w:t>
      </w:r>
    </w:p>
    <w:p w14:paraId="65D27895" w14:textId="77777777" w:rsidR="002055BB" w:rsidRDefault="000E606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2060"/>
          <w:sz w:val="38"/>
          <w:szCs w:val="38"/>
        </w:rPr>
      </w:pPr>
      <w:r>
        <w:rPr>
          <w:rFonts w:ascii="Arial" w:eastAsia="Arial" w:hAnsi="Arial" w:cs="Arial"/>
          <w:b/>
          <w:color w:val="002060"/>
          <w:sz w:val="38"/>
          <w:szCs w:val="38"/>
        </w:rPr>
        <w:t>2º Semestre de 2022</w:t>
      </w:r>
    </w:p>
    <w:p w14:paraId="5668E01E" w14:textId="77777777" w:rsidR="002055BB" w:rsidRDefault="002055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2060"/>
          <w:sz w:val="38"/>
          <w:szCs w:val="38"/>
        </w:rPr>
      </w:pPr>
    </w:p>
    <w:tbl>
      <w:tblPr>
        <w:tblStyle w:val="a1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2"/>
        <w:gridCol w:w="7200"/>
      </w:tblGrid>
      <w:tr w:rsidR="002055BB" w14:paraId="2B543036" w14:textId="77777777" w:rsidTr="008E1CB7">
        <w:tc>
          <w:tcPr>
            <w:tcW w:w="3432" w:type="dxa"/>
            <w:shd w:val="clear" w:color="auto" w:fill="auto"/>
          </w:tcPr>
          <w:p w14:paraId="106ABFA2" w14:textId="77777777" w:rsidR="002055BB" w:rsidRDefault="000E606F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7200" w:type="dxa"/>
            <w:shd w:val="clear" w:color="auto" w:fill="auto"/>
          </w:tcPr>
          <w:p w14:paraId="6A46706F" w14:textId="160C992D" w:rsidR="002055BB" w:rsidRPr="008E1CB7" w:rsidRDefault="008E1CB7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CB7">
              <w:rPr>
                <w:rFonts w:ascii="Times New Roman" w:hAnsi="Times New Roman" w:cs="Times New Roman"/>
                <w:sz w:val="24"/>
                <w:szCs w:val="24"/>
              </w:rPr>
              <w:t xml:space="preserve">Aspectos teóricos e práticos 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produção oral e</w:t>
            </w:r>
            <w:r w:rsidRPr="008E1CB7">
              <w:rPr>
                <w:rFonts w:ascii="Times New Roman" w:hAnsi="Times New Roman" w:cs="Times New Roman"/>
                <w:sz w:val="24"/>
                <w:szCs w:val="24"/>
              </w:rPr>
              <w:t>m sala de aula de línguas</w:t>
            </w:r>
          </w:p>
        </w:tc>
      </w:tr>
      <w:tr w:rsidR="0036001A" w14:paraId="0209D360" w14:textId="77777777" w:rsidTr="008E1CB7">
        <w:tc>
          <w:tcPr>
            <w:tcW w:w="3432" w:type="dxa"/>
            <w:shd w:val="clear" w:color="auto" w:fill="auto"/>
          </w:tcPr>
          <w:p w14:paraId="57CA51F2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7200" w:type="dxa"/>
            <w:shd w:val="clear" w:color="auto" w:fill="auto"/>
          </w:tcPr>
          <w:p w14:paraId="07B691F3" w14:textId="4107F02B" w:rsidR="0036001A" w:rsidRPr="00DE1A4D" w:rsidRDefault="0036001A" w:rsidP="00DE1A4D">
            <w:pPr>
              <w:spacing w:before="20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O objetivo deste curso é abrir um espaço para discussão, trocas de experiências entre professores e possibilitar aos docentes a elaboração de atividades de produção oral (PO) de forma colaborativa. Buscando estabelecer uma relação entre orientações teóricas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,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colocaremos em prática nossa proposta de formação que consiste na transposição dos aspectos teóricos para a prática da sala de aula com enfoque especificamente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em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atividades de PO. Dessa forma,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em alguns encontros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os participantes serão convidados a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discutir com base na bibliografia selecionada e, em outros,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refletir sobre os modelos de atividades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didáticas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apresentad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as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a fim de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elaborar, em pequenos grupos, atividades didáticas a serem utilizadas em seu contexto de atuação, visando à interação entre seus aprendizes. Nosso intuito é </w:t>
            </w: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fomentar a discussão sobre a oralidade em sala de aula de língua estrangeira, favorecendo ao máximo a relação teoria x prática durante a formação. </w:t>
            </w:r>
          </w:p>
        </w:tc>
      </w:tr>
      <w:tr w:rsidR="0036001A" w14:paraId="2B2017B1" w14:textId="77777777" w:rsidTr="008E1CB7">
        <w:tc>
          <w:tcPr>
            <w:tcW w:w="3432" w:type="dxa"/>
            <w:shd w:val="clear" w:color="auto" w:fill="auto"/>
          </w:tcPr>
          <w:p w14:paraId="4DFEB0EA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7200" w:type="dxa"/>
            <w:shd w:val="clear" w:color="auto" w:fill="auto"/>
          </w:tcPr>
          <w:p w14:paraId="3ED5CCD7" w14:textId="4EC1F592" w:rsidR="0036001A" w:rsidRDefault="00DE1A4D" w:rsidP="0036001A">
            <w:pPr>
              <w:spacing w:before="200" w:after="0" w:line="480" w:lineRule="auto"/>
            </w:pPr>
            <w:r w:rsidRPr="00C45C20">
              <w:rPr>
                <w:rFonts w:ascii="Times New Roman" w:hAnsi="Times New Roman" w:cs="Times New Roman"/>
                <w:sz w:val="24"/>
                <w:szCs w:val="24"/>
              </w:rPr>
              <w:t>Heloísa Brito de Albuquerque Costa</w:t>
            </w:r>
          </w:p>
        </w:tc>
      </w:tr>
      <w:tr w:rsidR="0036001A" w14:paraId="34A0251B" w14:textId="77777777" w:rsidTr="008E1CB7">
        <w:tc>
          <w:tcPr>
            <w:tcW w:w="3432" w:type="dxa"/>
            <w:shd w:val="clear" w:color="auto" w:fill="auto"/>
          </w:tcPr>
          <w:p w14:paraId="0939B500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Nº USP</w:t>
            </w:r>
          </w:p>
        </w:tc>
        <w:tc>
          <w:tcPr>
            <w:tcW w:w="7200" w:type="dxa"/>
            <w:shd w:val="clear" w:color="auto" w:fill="auto"/>
          </w:tcPr>
          <w:p w14:paraId="05E1705C" w14:textId="77777777" w:rsidR="0036001A" w:rsidRDefault="0036001A" w:rsidP="0036001A">
            <w:pPr>
              <w:spacing w:before="200" w:after="0" w:line="480" w:lineRule="auto"/>
            </w:pPr>
          </w:p>
        </w:tc>
      </w:tr>
      <w:tr w:rsidR="0036001A" w14:paraId="72F33714" w14:textId="77777777" w:rsidTr="008E1CB7">
        <w:tc>
          <w:tcPr>
            <w:tcW w:w="3432" w:type="dxa"/>
            <w:shd w:val="clear" w:color="auto" w:fill="auto"/>
          </w:tcPr>
          <w:p w14:paraId="7EBC52AC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7200" w:type="dxa"/>
            <w:shd w:val="clear" w:color="auto" w:fill="auto"/>
          </w:tcPr>
          <w:p w14:paraId="19BC96D5" w14:textId="0185A3CF" w:rsidR="00DE1A4D" w:rsidRDefault="00DE1A4D" w:rsidP="008E1CB7">
            <w:pPr>
              <w:tabs>
                <w:tab w:val="left" w:pos="252"/>
              </w:tabs>
              <w:spacing w:before="200" w:after="0" w:line="480" w:lineRule="auto"/>
            </w:pPr>
            <w:r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Rita de Cássia Gomes</w:t>
            </w:r>
            <w:r w:rsidR="008E1CB7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e </w:t>
            </w:r>
            <w:r w:rsidR="008E1CB7" w:rsidRPr="00DE1A4D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Marina Isadora</w:t>
            </w:r>
            <w:r w:rsidR="008E1CB7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 xml:space="preserve"> da Silva Correa </w:t>
            </w:r>
          </w:p>
        </w:tc>
      </w:tr>
      <w:tr w:rsidR="0036001A" w14:paraId="124E8AEC" w14:textId="77777777" w:rsidTr="008E1CB7">
        <w:tc>
          <w:tcPr>
            <w:tcW w:w="3432" w:type="dxa"/>
            <w:shd w:val="clear" w:color="auto" w:fill="auto"/>
          </w:tcPr>
          <w:p w14:paraId="7794E1F7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Público-alvo</w:t>
            </w:r>
          </w:p>
        </w:tc>
        <w:tc>
          <w:tcPr>
            <w:tcW w:w="7200" w:type="dxa"/>
            <w:shd w:val="clear" w:color="auto" w:fill="auto"/>
          </w:tcPr>
          <w:p w14:paraId="25ADA98F" w14:textId="7B873BE6" w:rsidR="007C11B9" w:rsidRDefault="007C11B9" w:rsidP="008E1CB7">
            <w:pPr>
              <w:spacing w:before="200" w:after="0" w:line="480" w:lineRule="auto"/>
            </w:pPr>
            <w:r w:rsidRPr="00C45C20">
              <w:rPr>
                <w:rFonts w:ascii="Times New Roman" w:hAnsi="Times New Roman" w:cs="Times New Roman"/>
                <w:sz w:val="24"/>
                <w:szCs w:val="24"/>
              </w:rPr>
              <w:t>Professores de línguas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;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studantes de graduação e pós-graduação nas áreas de Letras/Educação/Linguística</w:t>
            </w:r>
            <w:r w:rsidR="008E1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001A" w14:paraId="3874CFE5" w14:textId="77777777" w:rsidTr="008E1CB7">
        <w:tc>
          <w:tcPr>
            <w:tcW w:w="3432" w:type="dxa"/>
            <w:shd w:val="clear" w:color="auto" w:fill="auto"/>
          </w:tcPr>
          <w:p w14:paraId="6A344D82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7200" w:type="dxa"/>
            <w:shd w:val="clear" w:color="auto" w:fill="auto"/>
          </w:tcPr>
          <w:p w14:paraId="738E62E5" w14:textId="227AF1D7" w:rsidR="0036001A" w:rsidRPr="009F74AE" w:rsidRDefault="009F74AE" w:rsidP="0036001A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E">
              <w:rPr>
                <w:rFonts w:ascii="Times New Roman" w:hAnsi="Times New Roman" w:cs="Times New Roman"/>
                <w:sz w:val="24"/>
                <w:szCs w:val="24"/>
              </w:rPr>
              <w:t>21h</w:t>
            </w:r>
          </w:p>
        </w:tc>
      </w:tr>
      <w:tr w:rsidR="0036001A" w14:paraId="4E34C24F" w14:textId="77777777" w:rsidTr="008E1CB7">
        <w:tc>
          <w:tcPr>
            <w:tcW w:w="3432" w:type="dxa"/>
            <w:shd w:val="clear" w:color="auto" w:fill="auto"/>
          </w:tcPr>
          <w:p w14:paraId="745862D3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7200" w:type="dxa"/>
            <w:shd w:val="clear" w:color="auto" w:fill="auto"/>
          </w:tcPr>
          <w:p w14:paraId="7DD4224C" w14:textId="259B87B6" w:rsidR="0036001A" w:rsidRPr="009F74AE" w:rsidRDefault="009F74AE" w:rsidP="0036001A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20">
              <w:rPr>
                <w:rFonts w:ascii="Times New Roman" w:hAnsi="Times New Roman" w:cs="Times New Roman"/>
                <w:sz w:val="24"/>
                <w:szCs w:val="24"/>
              </w:rPr>
              <w:t>À distância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(via google meet).</w:t>
            </w:r>
          </w:p>
        </w:tc>
      </w:tr>
      <w:tr w:rsidR="0036001A" w14:paraId="7818A6B7" w14:textId="77777777" w:rsidTr="008E1CB7">
        <w:tc>
          <w:tcPr>
            <w:tcW w:w="3432" w:type="dxa"/>
            <w:shd w:val="clear" w:color="auto" w:fill="auto"/>
          </w:tcPr>
          <w:p w14:paraId="590F1E8C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7200" w:type="dxa"/>
            <w:shd w:val="clear" w:color="auto" w:fill="auto"/>
          </w:tcPr>
          <w:p w14:paraId="3413D67F" w14:textId="253975E5" w:rsidR="0036001A" w:rsidRPr="009F74AE" w:rsidRDefault="009F74AE" w:rsidP="0036001A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 semestre de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01A" w14:paraId="2785DDBC" w14:textId="77777777" w:rsidTr="008E1CB7">
        <w:tc>
          <w:tcPr>
            <w:tcW w:w="3432" w:type="dxa"/>
            <w:shd w:val="clear" w:color="auto" w:fill="auto"/>
          </w:tcPr>
          <w:p w14:paraId="64C0BFDA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7200" w:type="dxa"/>
            <w:shd w:val="clear" w:color="auto" w:fill="auto"/>
          </w:tcPr>
          <w:p w14:paraId="518CF452" w14:textId="743D566C" w:rsidR="0036001A" w:rsidRPr="009F74AE" w:rsidRDefault="009F74AE" w:rsidP="009F7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Possibilitar a integração entre aspectos teóricos e práticos no que tange à formação docente, especificamente no tocante à elaboração de atividades 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produção oral.</w:t>
            </w:r>
          </w:p>
        </w:tc>
      </w:tr>
      <w:tr w:rsidR="0036001A" w14:paraId="02635591" w14:textId="77777777" w:rsidTr="008E1CB7">
        <w:tc>
          <w:tcPr>
            <w:tcW w:w="3432" w:type="dxa"/>
            <w:shd w:val="clear" w:color="auto" w:fill="auto"/>
          </w:tcPr>
          <w:p w14:paraId="55983702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7200" w:type="dxa"/>
            <w:shd w:val="clear" w:color="auto" w:fill="auto"/>
          </w:tcPr>
          <w:p w14:paraId="4B832D07" w14:textId="675277F9" w:rsidR="0036001A" w:rsidRPr="009F74AE" w:rsidRDefault="009F74AE" w:rsidP="009F7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4AE">
              <w:rPr>
                <w:rFonts w:ascii="Times New Roman" w:hAnsi="Times New Roman" w:cs="Times New Roman"/>
                <w:sz w:val="24"/>
                <w:szCs w:val="24"/>
              </w:rPr>
              <w:t>Favorecer o trabalho colaborativo (remoto) entre docentes por meio da discussão e elaboração de atividades didáticas; fomentar a troca de experiências no que tange ao trabalho relacionado à PO em sala de aula de línguas; evidenciar o papel preponderante que ocupam as atividades didáticas no que concerne à PO entre os aprendizes; sensibilizar os docentes para a necessidade de conferir um tempo de fala significativo para que os aprendizes desenvolvam suas habilidades discursivas desde os primeiros contatos com a LE.</w:t>
            </w:r>
          </w:p>
        </w:tc>
      </w:tr>
      <w:tr w:rsidR="0036001A" w14:paraId="11A4DB8A" w14:textId="77777777" w:rsidTr="008E1CB7">
        <w:tc>
          <w:tcPr>
            <w:tcW w:w="3432" w:type="dxa"/>
            <w:shd w:val="clear" w:color="auto" w:fill="auto"/>
          </w:tcPr>
          <w:p w14:paraId="37D63DFE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Justificativa</w:t>
            </w:r>
          </w:p>
        </w:tc>
        <w:tc>
          <w:tcPr>
            <w:tcW w:w="7200" w:type="dxa"/>
            <w:shd w:val="clear" w:color="auto" w:fill="auto"/>
          </w:tcPr>
          <w:p w14:paraId="31151A76" w14:textId="3D41B2AF" w:rsidR="0036001A" w:rsidRPr="009F74AE" w:rsidRDefault="009F74AE" w:rsidP="009F74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Favorecer a produção oral entre os aprendizes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constitui um desafio para a maioria dos professores. Por essa razão, nosso objetivo é propor uma via para integrar a teoria e a prática na discussão sobre a oralidade em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sala de aula de LE, no intuito de possibilitar aos professores elaborar atividades, discutir com colegas de profissão e encontrar meios que lhes permitam tornar a fala entre seus aprendizes, em LE, um exercício que é parte integrante do ensino-aprendizagem.</w:t>
            </w:r>
          </w:p>
        </w:tc>
      </w:tr>
      <w:tr w:rsidR="0036001A" w14:paraId="557034DC" w14:textId="77777777" w:rsidTr="008E1CB7">
        <w:tc>
          <w:tcPr>
            <w:tcW w:w="3432" w:type="dxa"/>
            <w:shd w:val="clear" w:color="auto" w:fill="auto"/>
          </w:tcPr>
          <w:p w14:paraId="7C86F939" w14:textId="77777777" w:rsidR="0036001A" w:rsidRDefault="0036001A" w:rsidP="0036001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Conteúdo Programático</w:t>
            </w:r>
          </w:p>
        </w:tc>
        <w:tc>
          <w:tcPr>
            <w:tcW w:w="7200" w:type="dxa"/>
            <w:shd w:val="clear" w:color="auto" w:fill="auto"/>
          </w:tcPr>
          <w:p w14:paraId="5E0846A8" w14:textId="0CE7AF16" w:rsidR="0036001A" w:rsidRP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val="fr-FR" w:eastAsia="zh-CN" w:bidi="hi-IN"/>
              </w:rPr>
              <w:t xml:space="preserve">Encontro 1: </w:t>
            </w:r>
          </w:p>
          <w:p w14:paraId="103B67A0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Apresentação do grupo</w:t>
            </w:r>
          </w:p>
          <w:p w14:paraId="5D0A0FA6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Reflexões sobre o ensino-aprendizagem da expressão oral</w:t>
            </w:r>
          </w:p>
          <w:p w14:paraId="1EE0A01E" w14:textId="77777777" w:rsidR="008E1CB7" w:rsidRP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Project Zero Harvard (1967)</w:t>
            </w:r>
          </w:p>
          <w:p w14:paraId="7283A5F6" w14:textId="77777777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</w:pPr>
          </w:p>
          <w:p w14:paraId="47CFB05E" w14:textId="3117A0E1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  <w:t>Encontro 2 :</w:t>
            </w:r>
          </w:p>
          <w:p w14:paraId="0BA9D8BA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Definição do termo </w:t>
            </w:r>
            <w:r w:rsidRPr="00107AC6">
              <w:rPr>
                <w:rFonts w:ascii="Arial Narrow" w:eastAsia="Arial Narrow" w:hAnsi="Arial Narrow" w:cs="Arial Narrow"/>
                <w:bCs/>
                <w:i/>
                <w:kern w:val="2"/>
                <w:sz w:val="20"/>
                <w:szCs w:val="20"/>
                <w:lang w:val="fr-FR" w:eastAsia="zh-CN" w:bidi="hi-IN"/>
              </w:rPr>
              <w:t>oral</w:t>
            </w: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 </w:t>
            </w:r>
          </w:p>
          <w:p w14:paraId="0DEC1F21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Do senso comum a objeto da Didática de Línguas Estrangeiras</w:t>
            </w:r>
          </w:p>
          <w:p w14:paraId="3672FA5F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  <w:t>Project Zero Harvard (1967), Weber (2013), Vigner (2015), Robert (2008)</w:t>
            </w:r>
          </w:p>
          <w:p w14:paraId="04397043" w14:textId="77777777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</w:pPr>
          </w:p>
          <w:p w14:paraId="599AA777" w14:textId="5C1773E3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</w:pPr>
            <w:r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  <w:t>Encontro 3 :</w:t>
            </w:r>
          </w:p>
          <w:p w14:paraId="38034011" w14:textId="77777777" w:rsidR="00107AC6" w:rsidRPr="00107AC6" w:rsidRDefault="00107AC6" w:rsidP="00107AC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Estratégias para favorecer a expressão oral em sala de aula de língua estrangeira </w:t>
            </w:r>
          </w:p>
          <w:p w14:paraId="235C9168" w14:textId="0AC5C5AD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Ministère de l’Éducation (Canada) (2017), Corrêa (2018), Oliveira (2008), Aranda (2018)</w:t>
            </w:r>
          </w:p>
          <w:p w14:paraId="603D3B23" w14:textId="28129DE2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</w:p>
          <w:p w14:paraId="6D3FBDB7" w14:textId="7F3B8DF0" w:rsidR="00107AC6" w:rsidRP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val="fr-FR" w:eastAsia="zh-CN" w:bidi="hi-IN"/>
              </w:rPr>
              <w:t>Encontro 4 :</w:t>
            </w:r>
          </w:p>
          <w:p w14:paraId="6DB224DF" w14:textId="29C07103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  <w:t xml:space="preserve">A interação em sala de aula – aspectos teóricos e práticos </w:t>
            </w:r>
          </w:p>
          <w:p w14:paraId="663D703A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  <w:t>Interação didática e interação simétrica : Cicurel (2011), Kramsch (1984), Nussbaum (1998).</w:t>
            </w:r>
          </w:p>
          <w:p w14:paraId="2AC12514" w14:textId="56BC5A01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</w:p>
          <w:p w14:paraId="12D5B102" w14:textId="4DDD4258" w:rsidR="00107AC6" w:rsidRP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/>
                <w:kern w:val="2"/>
                <w:sz w:val="20"/>
                <w:szCs w:val="20"/>
                <w:lang w:val="fr-FR" w:eastAsia="zh-CN" w:bidi="hi-IN"/>
              </w:rPr>
              <w:t>Encontro 5 :</w:t>
            </w:r>
          </w:p>
          <w:p w14:paraId="2F54F138" w14:textId="70FDE76A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As atividades didáticas – aspectos teóricos e práticos</w:t>
            </w:r>
          </w:p>
          <w:p w14:paraId="68B6CFE7" w14:textId="7777777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Aspectos teóricos: Pendanx (1998), Cicurel (2002), Weber (2013). </w:t>
            </w:r>
          </w:p>
          <w:p w14:paraId="27C0D6E4" w14:textId="4548B65F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Aspectos práticos : </w:t>
            </w: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Organizando o trabalho docente - o quadro de tipologia. </w:t>
            </w:r>
          </w:p>
          <w:p w14:paraId="2C00A84B" w14:textId="11893B8C" w:rsid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</w:pPr>
          </w:p>
          <w:p w14:paraId="58BE25F3" w14:textId="43529D2A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  <w:t xml:space="preserve">Encontro 6 : </w:t>
            </w:r>
          </w:p>
          <w:p w14:paraId="3B81D42E" w14:textId="17B78917" w:rsidR="00107AC6" w:rsidRPr="00107AC6" w:rsidRDefault="00107AC6" w:rsidP="00107AC6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</w:pP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Como trabalhar música de forma interativa em sala de aula de LE</w:t>
            </w:r>
            <w:r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 xml:space="preserve"> - r</w:t>
            </w:r>
            <w:r w:rsidRPr="00107AC6">
              <w:rPr>
                <w:rFonts w:ascii="Arial Narrow" w:eastAsia="Arial Narrow" w:hAnsi="Arial Narrow" w:cs="Arial Narrow"/>
                <w:bCs/>
                <w:kern w:val="2"/>
                <w:sz w:val="20"/>
                <w:szCs w:val="20"/>
                <w:lang w:val="fr-FR" w:eastAsia="zh-CN" w:bidi="hi-IN"/>
              </w:rPr>
              <w:t>etomada das modalidades de interação simétrica apresentadas nos encontros anteriores.</w:t>
            </w:r>
          </w:p>
          <w:p w14:paraId="1A423695" w14:textId="3E6EEA1F" w:rsidR="00107AC6" w:rsidRDefault="00107AC6" w:rsidP="00107A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873FD" w14:textId="5276860A" w:rsidR="008A1B5F" w:rsidRDefault="008A1B5F" w:rsidP="008A1B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AC6"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  <w:t xml:space="preserve">Encontro </w:t>
            </w:r>
            <w:r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  <w:t>7</w:t>
            </w:r>
            <w:r w:rsidRPr="00107AC6">
              <w:rPr>
                <w:rFonts w:ascii="Arial Narrow" w:eastAsia="Arial Narrow" w:hAnsi="Arial Narrow" w:cs="Arial Narrow"/>
                <w:b/>
                <w:bCs/>
                <w:kern w:val="2"/>
                <w:sz w:val="20"/>
                <w:szCs w:val="20"/>
                <w:lang w:val="fr-FR" w:eastAsia="zh-CN" w:bidi="hi-IN"/>
              </w:rPr>
              <w:t xml:space="preserve"> : </w:t>
            </w:r>
          </w:p>
          <w:p w14:paraId="75B2AFD6" w14:textId="4BE16F1C" w:rsidR="008A1B5F" w:rsidRPr="008A1B5F" w:rsidRDefault="008A1B5F" w:rsidP="008A1B5F">
            <w:pPr>
              <w:keepNext/>
              <w:spacing w:after="0" w:line="240" w:lineRule="auto"/>
              <w:contextualSpacing/>
              <w:jc w:val="both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</w:pPr>
            <w:r w:rsidRPr="008A1B5F">
              <w:rPr>
                <w:rFonts w:ascii="Arial Narrow" w:eastAsia="Arial Narrow" w:hAnsi="Arial Narrow" w:cs="Mangal"/>
                <w:kern w:val="2"/>
                <w:sz w:val="20"/>
                <w:szCs w:val="20"/>
                <w:lang w:val="fr-FR" w:eastAsia="zh-CN" w:bidi="hi-IN"/>
              </w:rPr>
              <w:t>A</w:t>
            </w:r>
            <w:r w:rsidRPr="008A1B5F">
              <w:rPr>
                <w:rFonts w:ascii="Arial Narrow" w:eastAsia="Arial Narrow" w:hAnsi="Arial Narrow" w:cs="Mangal"/>
                <w:kern w:val="2"/>
                <w:sz w:val="20"/>
                <w:szCs w:val="20"/>
                <w:lang w:val="fr-FR" w:eastAsia="zh-CN" w:bidi="hi-IN"/>
              </w:rPr>
              <w:t xml:space="preserve"> pesquisa sobre a interação oral em sala de aula de LE</w:t>
            </w:r>
            <w:r w:rsidRPr="008A1B5F">
              <w:rPr>
                <w:rFonts w:ascii="Arial Narrow" w:eastAsia="Arial Narrow" w:hAnsi="Arial Narrow" w:cs="Mangal"/>
                <w:kern w:val="2"/>
                <w:sz w:val="20"/>
                <w:szCs w:val="20"/>
                <w:lang w:val="fr-FR" w:eastAsia="zh-CN" w:bidi="hi-IN"/>
              </w:rPr>
              <w:t>.</w:t>
            </w:r>
          </w:p>
          <w:p w14:paraId="4D2BAB5D" w14:textId="77777777" w:rsidR="00107AC6" w:rsidRDefault="008A1B5F" w:rsidP="008A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</w:pPr>
            <w:r w:rsidRPr="008A1B5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  <w:t>Feed-back dos p</w:t>
            </w:r>
            <w:r w:rsidRPr="008A1B5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  <w:t>articipantes</w:t>
            </w:r>
            <w:r w:rsidRPr="008A1B5F">
              <w:rPr>
                <w:rFonts w:ascii="Arial Narrow" w:eastAsia="Arial Narrow" w:hAnsi="Arial Narrow" w:cs="Arial Narrow"/>
                <w:kern w:val="2"/>
                <w:sz w:val="20"/>
                <w:szCs w:val="20"/>
                <w:lang w:val="fr-FR" w:eastAsia="zh-CN" w:bidi="hi-IN"/>
              </w:rPr>
              <w:t xml:space="preserve"> por meio de questionário e discussão em grupo.</w:t>
            </w:r>
          </w:p>
          <w:p w14:paraId="6113F378" w14:textId="4E206E13" w:rsidR="008A1B5F" w:rsidRPr="009F74AE" w:rsidRDefault="008A1B5F" w:rsidP="008A1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B57" w14:paraId="6E3FA3DE" w14:textId="77777777" w:rsidTr="008E1CB7">
        <w:tc>
          <w:tcPr>
            <w:tcW w:w="3432" w:type="dxa"/>
            <w:shd w:val="clear" w:color="auto" w:fill="auto"/>
          </w:tcPr>
          <w:p w14:paraId="4CA8B5D6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7200" w:type="dxa"/>
            <w:shd w:val="clear" w:color="auto" w:fill="auto"/>
          </w:tcPr>
          <w:p w14:paraId="66489027" w14:textId="0D644C82" w:rsidR="00AD4B57" w:rsidRDefault="00E4609A" w:rsidP="00AD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Cada encontro terá uma duração de 3h e o</w:t>
            </w:r>
            <w:r w:rsidR="00AD4B57">
              <w:rPr>
                <w:rFonts w:ascii="Times New Roman" w:hAnsi="Times New Roman" w:cs="Times New Roman"/>
                <w:sz w:val="24"/>
                <w:szCs w:val="24"/>
              </w:rPr>
              <w:t>correr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AD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modalidade online</w:t>
            </w:r>
            <w:r w:rsidR="00AD4B57">
              <w:rPr>
                <w:rFonts w:ascii="Times New Roman" w:hAnsi="Times New Roman" w:cs="Times New Roman"/>
                <w:sz w:val="24"/>
                <w:szCs w:val="24"/>
              </w:rPr>
              <w:t xml:space="preserve">, por meio da plataforma </w:t>
            </w:r>
            <w:r w:rsidR="00AD4B57" w:rsidRPr="008E1C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google meet</w:t>
            </w:r>
            <w:r w:rsidR="00AD4B57">
              <w:rPr>
                <w:rFonts w:ascii="Times New Roman" w:hAnsi="Times New Roman" w:cs="Times New Roman"/>
                <w:sz w:val="24"/>
                <w:szCs w:val="24"/>
              </w:rPr>
              <w:t>. A dinâmica de cada sessão será a seguinte:</w:t>
            </w:r>
          </w:p>
          <w:p w14:paraId="08CF0C20" w14:textId="0E233461" w:rsidR="00AD4B57" w:rsidRDefault="00AD4B57" w:rsidP="00AD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Exposição teórica sobre uma determinada temática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(discussão participativa).</w:t>
            </w:r>
          </w:p>
          <w:p w14:paraId="457871AF" w14:textId="1F790D38" w:rsidR="00AD4B57" w:rsidRDefault="00AD4B57" w:rsidP="00AD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15h-16h: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trabalho em pequenos grupos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F54AB61" w14:textId="3A0F726A" w:rsidR="00AD4B57" w:rsidRPr="009F74AE" w:rsidRDefault="00AD4B57" w:rsidP="00AD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16h-17h-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Compartilhamento e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iscussão entre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diferentes grupos, juntamente com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formadoras.</w:t>
            </w:r>
          </w:p>
        </w:tc>
      </w:tr>
      <w:tr w:rsidR="00AD4B57" w14:paraId="6D876517" w14:textId="77777777" w:rsidTr="008E1CB7">
        <w:tc>
          <w:tcPr>
            <w:tcW w:w="3432" w:type="dxa"/>
            <w:shd w:val="clear" w:color="auto" w:fill="auto"/>
          </w:tcPr>
          <w:p w14:paraId="1A7E70C4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Avaliação</w:t>
            </w:r>
          </w:p>
        </w:tc>
        <w:tc>
          <w:tcPr>
            <w:tcW w:w="7200" w:type="dxa"/>
            <w:shd w:val="clear" w:color="auto" w:fill="auto"/>
          </w:tcPr>
          <w:p w14:paraId="7FB8BF14" w14:textId="6458E13A" w:rsidR="00AD4B57" w:rsidRPr="009F74AE" w:rsidRDefault="00AD4B57" w:rsidP="00AD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4B57" w14:paraId="57A692C4" w14:textId="77777777" w:rsidTr="008E1CB7">
        <w:tc>
          <w:tcPr>
            <w:tcW w:w="3432" w:type="dxa"/>
            <w:shd w:val="clear" w:color="auto" w:fill="auto"/>
          </w:tcPr>
          <w:p w14:paraId="7E3E02E3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7200" w:type="dxa"/>
            <w:shd w:val="clear" w:color="auto" w:fill="auto"/>
          </w:tcPr>
          <w:p w14:paraId="2C01AF15" w14:textId="7B9CB610" w:rsidR="00AD4B57" w:rsidRPr="009F74AE" w:rsidRDefault="00AD4B57" w:rsidP="00AD4B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Frequência mínima de 75% e cumprimento das atividades solicitadas no curso (elaboração das atividades,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discussões em grupos,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apresentação e armazenamento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dos materiais produzidos no curso, em uma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pasta do </w:t>
            </w:r>
            <w:r w:rsidRPr="003D2839">
              <w:rPr>
                <w:rFonts w:ascii="Times New Roman" w:hAnsi="Times New Roman" w:cs="Times New Roman"/>
                <w:i/>
                <w:sz w:val="24"/>
                <w:szCs w:val="24"/>
              </w:rPr>
              <w:t>google drive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D4B57" w14:paraId="14F518C2" w14:textId="77777777" w:rsidTr="008E1CB7">
        <w:tc>
          <w:tcPr>
            <w:tcW w:w="3432" w:type="dxa"/>
            <w:shd w:val="clear" w:color="auto" w:fill="auto"/>
          </w:tcPr>
          <w:p w14:paraId="2C5956C0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7200" w:type="dxa"/>
            <w:shd w:val="clear" w:color="auto" w:fill="auto"/>
          </w:tcPr>
          <w:p w14:paraId="7A61CCA7" w14:textId="4D576807" w:rsidR="00AD4B57" w:rsidRPr="009F74AE" w:rsidRDefault="00AD4B57" w:rsidP="00AD4B57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AD4B57" w14:paraId="36C3D695" w14:textId="77777777" w:rsidTr="008E1CB7">
        <w:tc>
          <w:tcPr>
            <w:tcW w:w="3432" w:type="dxa"/>
            <w:shd w:val="clear" w:color="auto" w:fill="auto"/>
          </w:tcPr>
          <w:p w14:paraId="19C38825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Oferecimento</w:t>
            </w:r>
          </w:p>
        </w:tc>
        <w:tc>
          <w:tcPr>
            <w:tcW w:w="7200" w:type="dxa"/>
            <w:shd w:val="clear" w:color="auto" w:fill="auto"/>
          </w:tcPr>
          <w:p w14:paraId="7D4AB9B9" w14:textId="37BC4B4D" w:rsidR="00AD4B57" w:rsidRPr="009F74AE" w:rsidRDefault="007411DA" w:rsidP="00AD4B57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 meses de agosto e setembro de 202</w:t>
            </w:r>
            <w:r w:rsidR="00E4609A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 data a definir.</w:t>
            </w:r>
          </w:p>
        </w:tc>
      </w:tr>
      <w:tr w:rsidR="00AD4B57" w14:paraId="3C48B510" w14:textId="77777777" w:rsidTr="008E1CB7">
        <w:tc>
          <w:tcPr>
            <w:tcW w:w="3432" w:type="dxa"/>
            <w:shd w:val="clear" w:color="auto" w:fill="auto"/>
          </w:tcPr>
          <w:p w14:paraId="120BED05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7200" w:type="dxa"/>
            <w:shd w:val="clear" w:color="auto" w:fill="auto"/>
          </w:tcPr>
          <w:p w14:paraId="6E9098F4" w14:textId="242DAF53" w:rsidR="00AD4B57" w:rsidRPr="009F74AE" w:rsidRDefault="007411DA" w:rsidP="00AD4B57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4B57" w14:paraId="121D9C2F" w14:textId="77777777" w:rsidTr="008E1CB7">
        <w:tc>
          <w:tcPr>
            <w:tcW w:w="3432" w:type="dxa"/>
            <w:shd w:val="clear" w:color="auto" w:fill="auto"/>
          </w:tcPr>
          <w:p w14:paraId="4C56FA5B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7200" w:type="dxa"/>
            <w:shd w:val="clear" w:color="auto" w:fill="auto"/>
          </w:tcPr>
          <w:p w14:paraId="3FCF6334" w14:textId="7F4EA66C" w:rsidR="00AD4B57" w:rsidRPr="009F74AE" w:rsidRDefault="007411DA" w:rsidP="00AD4B57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 professor de línguas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aluno regularmente matriculado em curso de graduação ou pós-graduação.</w:t>
            </w:r>
          </w:p>
        </w:tc>
      </w:tr>
      <w:tr w:rsidR="00AD4B57" w14:paraId="05563F79" w14:textId="77777777" w:rsidTr="008E1CB7">
        <w:tc>
          <w:tcPr>
            <w:tcW w:w="3432" w:type="dxa"/>
            <w:shd w:val="clear" w:color="auto" w:fill="auto"/>
          </w:tcPr>
          <w:p w14:paraId="14FD65D5" w14:textId="77777777" w:rsidR="00AD4B57" w:rsidRDefault="00AD4B57" w:rsidP="00AD4B5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7200" w:type="dxa"/>
            <w:shd w:val="clear" w:color="auto" w:fill="auto"/>
          </w:tcPr>
          <w:p w14:paraId="58385D0A" w14:textId="07537BDE" w:rsidR="00AD4B57" w:rsidRPr="009F74AE" w:rsidRDefault="007411DA" w:rsidP="00AD4B57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1DA" w14:paraId="4DE2AE6F" w14:textId="77777777" w:rsidTr="008E1CB7">
        <w:tc>
          <w:tcPr>
            <w:tcW w:w="3432" w:type="dxa"/>
            <w:shd w:val="clear" w:color="auto" w:fill="auto"/>
          </w:tcPr>
          <w:p w14:paraId="58CDBB94" w14:textId="77777777" w:rsidR="007411DA" w:rsidRDefault="007411DA" w:rsidP="007411D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7200" w:type="dxa"/>
            <w:shd w:val="clear" w:color="auto" w:fill="auto"/>
          </w:tcPr>
          <w:p w14:paraId="42C5E067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2716">
              <w:rPr>
                <w:rFonts w:ascii="Times New Roman" w:hAnsi="Times New Roman" w:cs="Times New Roman"/>
              </w:rPr>
              <w:t xml:space="preserve">ANDRADE, A. I.; ARAÚJO e SÁ, M. H. </w:t>
            </w:r>
            <w:r w:rsidRPr="007F2716">
              <w:rPr>
                <w:rFonts w:ascii="Times New Roman" w:hAnsi="Times New Roman" w:cs="Times New Roman"/>
                <w:b/>
              </w:rPr>
              <w:t>A interacção em aula de línguas: uma proposta de categorização didáctica</w:t>
            </w:r>
            <w:r w:rsidRPr="007F2716">
              <w:rPr>
                <w:rFonts w:ascii="Times New Roman" w:hAnsi="Times New Roman" w:cs="Times New Roman"/>
              </w:rPr>
              <w:t>. Intercompreensão, n. 4, p. 85-106, 1994. </w:t>
            </w:r>
          </w:p>
          <w:p w14:paraId="3C3EB34C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2716">
              <w:rPr>
                <w:rFonts w:ascii="Times New Roman" w:hAnsi="Times New Roman" w:cs="Times New Roman"/>
              </w:rPr>
              <w:t xml:space="preserve">ARAÚJO e SÁ, M. H. </w:t>
            </w:r>
            <w:r w:rsidRPr="007F2716">
              <w:rPr>
                <w:rFonts w:ascii="Times New Roman" w:hAnsi="Times New Roman" w:cs="Times New Roman"/>
                <w:b/>
              </w:rPr>
              <w:t>A interação em didática de línguas: percurso epistemológico de um objeto de investigação</w:t>
            </w:r>
            <w:r w:rsidRPr="007F2716">
              <w:rPr>
                <w:rFonts w:ascii="Times New Roman" w:hAnsi="Times New Roman" w:cs="Times New Roman"/>
              </w:rPr>
              <w:t>. Congresso Internacional Linguagem e Interação/ III Colóquio Nacional de Filosofia da Linguagem: Linguagem e Interação. S. Leopoldo: UNISINOS (editado em CD-ROM), 2005. </w:t>
            </w:r>
          </w:p>
          <w:p w14:paraId="4C714951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2716">
              <w:rPr>
                <w:rFonts w:ascii="Times New Roman" w:hAnsi="Times New Roman" w:cs="Times New Roman"/>
              </w:rPr>
              <w:t xml:space="preserve">_________________ </w:t>
            </w:r>
            <w:r w:rsidRPr="007F2716">
              <w:rPr>
                <w:rFonts w:ascii="Times New Roman" w:hAnsi="Times New Roman" w:cs="Times New Roman"/>
                <w:b/>
              </w:rPr>
              <w:t>A intercompreensão em didática de línguas: modulações em torno de uma abordagem interacional</w:t>
            </w:r>
            <w:r w:rsidRPr="007F2716">
              <w:rPr>
                <w:rFonts w:ascii="Times New Roman" w:hAnsi="Times New Roman" w:cs="Times New Roman"/>
              </w:rPr>
              <w:t xml:space="preserve">. In: Linguarum Arena: </w:t>
            </w:r>
            <w:r w:rsidRPr="007F2716">
              <w:rPr>
                <w:rFonts w:ascii="Times New Roman" w:hAnsi="Times New Roman" w:cs="Times New Roman"/>
              </w:rPr>
              <w:lastRenderedPageBreak/>
              <w:t>Revista de Estudos da Linguagem da Universidade do Porto, v.4, ano 2013, p. 79-106.</w:t>
            </w:r>
          </w:p>
          <w:p w14:paraId="3116990B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>ARDITTY, J., VASSEUR, M.T. Interactions et langue étrangère: Apresentação. In: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 xml:space="preserve"> Langages, número 134, 33° edição. 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Paris : Larousse, 1999. </w:t>
            </w:r>
          </w:p>
          <w:p w14:paraId="4AFA150F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BANGE, P. Considérations sur le rôle de l’interaction dans l’acquisition d’une langue étrangère. In :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 xml:space="preserve">Les Carnets du Cediscor. 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Consultado em 03/06/2016. Disponível em: </w:t>
            </w:r>
            <w:hyperlink r:id="rId8" w:history="1">
              <w:r w:rsidRPr="007F2716">
                <w:rPr>
                  <w:rStyle w:val="Hyperlink"/>
                  <w:rFonts w:ascii="Times New Roman" w:hAnsi="Times New Roman" w:cs="Times New Roman"/>
                  <w:lang w:val="fr-FR"/>
                </w:rPr>
                <w:t>http://cediscor.revues.org/443</w:t>
              </w:r>
            </w:hyperlink>
            <w:r w:rsidRPr="007F2716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14:paraId="7706C706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_________________ À propos de la communication et de l’apprentissage de L2 (notamment dans ses formes institutionnelles).In: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Acquisition et interaction en langue étrangère</w:t>
            </w:r>
            <w:r w:rsidRPr="007F2716">
              <w:rPr>
                <w:rFonts w:ascii="Times New Roman" w:hAnsi="Times New Roman" w:cs="Times New Roman"/>
                <w:lang w:val="fr-FR"/>
              </w:rPr>
              <w:t>, n. 1, p. 53-85, 1992.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</w:p>
          <w:p w14:paraId="5A0E2491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CICUREL, F. </w:t>
            </w:r>
            <w:r w:rsidRPr="007F2716">
              <w:rPr>
                <w:rFonts w:ascii="Times New Roman" w:hAnsi="Times New Roman" w:cs="Times New Roman"/>
                <w:b/>
                <w:iCs/>
                <w:lang w:val="fr-FR"/>
              </w:rPr>
              <w:t>Les interactions dans l’enseignement des langues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. Paris : Didier, 2011. </w:t>
            </w:r>
          </w:p>
          <w:p w14:paraId="6B9DC463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en-US"/>
              </w:rPr>
              <w:t xml:space="preserve">_________________ </w:t>
            </w:r>
            <w:r w:rsidRPr="007F2716">
              <w:rPr>
                <w:rFonts w:ascii="Times New Roman" w:hAnsi="Times New Roman" w:cs="Times New Roman"/>
                <w:b/>
                <w:color w:val="000000"/>
                <w:lang w:val="fr-FR"/>
              </w:rPr>
              <w:t>La classe de langue un lieu ordinaire, une interaction complexe</w:t>
            </w:r>
            <w:r w:rsidRPr="007F2716">
              <w:rPr>
                <w:rFonts w:ascii="Times New Roman" w:hAnsi="Times New Roman" w:cs="Times New Roman"/>
                <w:color w:val="000000"/>
                <w:lang w:val="fr-FR"/>
              </w:rPr>
              <w:t>. AILE. n. 16, p.145-164, 2002. </w:t>
            </w:r>
          </w:p>
          <w:p w14:paraId="1E83F185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eastAsia="Times New Roman" w:hAnsi="Times New Roman" w:cs="Times New Roman"/>
                <w:lang w:val="fr-FR" w:eastAsia="zh-CN"/>
              </w:rPr>
              <w:t xml:space="preserve">CICUREL, F., VÉRONIQUE, D. </w:t>
            </w:r>
            <w:r w:rsidRPr="007F2716">
              <w:rPr>
                <w:rFonts w:ascii="Times New Roman" w:eastAsia="Times New Roman" w:hAnsi="Times New Roman" w:cs="Times New Roman"/>
                <w:b/>
                <w:lang w:val="fr-FR" w:eastAsia="zh-CN"/>
              </w:rPr>
              <w:t>Discours, action et appropriation des langues.</w:t>
            </w:r>
            <w:r w:rsidRPr="007F2716">
              <w:rPr>
                <w:rFonts w:ascii="Times New Roman" w:eastAsia="Times New Roman" w:hAnsi="Times New Roman" w:cs="Times New Roman"/>
                <w:lang w:val="fr-FR" w:eastAsia="zh-CN"/>
              </w:rPr>
              <w:t xml:space="preserve"> Paris : Presses Sorbonne Nouvelle, 2002.</w:t>
            </w:r>
          </w:p>
          <w:p w14:paraId="46D52FFE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CONSEIL DE L’EUROPE.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Cadre éuropéen commun de référence pour les langues</w:t>
            </w:r>
            <w:r w:rsidRPr="007F2716">
              <w:rPr>
                <w:rFonts w:ascii="Times New Roman" w:hAnsi="Times New Roman" w:cs="Times New Roman"/>
                <w:lang w:val="fr-FR"/>
              </w:rPr>
              <w:t>. Paris: Didier, 2005.</w:t>
            </w:r>
          </w:p>
          <w:p w14:paraId="7B9EF158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2716">
              <w:rPr>
                <w:rFonts w:ascii="Times New Roman" w:hAnsi="Times New Roman" w:cs="Times New Roman"/>
                <w:lang w:val="en-US"/>
              </w:rPr>
              <w:t xml:space="preserve">CYR, P. </w:t>
            </w:r>
            <w:r w:rsidRPr="007F2716">
              <w:rPr>
                <w:rFonts w:ascii="Times New Roman" w:hAnsi="Times New Roman" w:cs="Times New Roman"/>
                <w:b/>
                <w:lang w:val="en-US"/>
              </w:rPr>
              <w:t>Les stratégies d’apprentissage</w:t>
            </w:r>
            <w:r w:rsidRPr="007F2716">
              <w:rPr>
                <w:rFonts w:ascii="Times New Roman" w:hAnsi="Times New Roman" w:cs="Times New Roman"/>
                <w:lang w:val="en-US"/>
              </w:rPr>
              <w:t>. Paris: CLE International, 1998.</w:t>
            </w:r>
          </w:p>
          <w:p w14:paraId="1B9DC784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DE PIETRO, J.F., MATTHEY, M. PY, B.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Acquisition et contrat didactique : les séquences potentiellement acquisitionnelles dans la conversation exolingue</w:t>
            </w:r>
            <w:r w:rsidRPr="007F2716">
              <w:rPr>
                <w:rFonts w:ascii="Times New Roman" w:hAnsi="Times New Roman" w:cs="Times New Roman"/>
                <w:lang w:val="fr-FR"/>
              </w:rPr>
              <w:t>. Actes du troisième colloque Régional de Linguistique. Strasbourg, 1988, p. 99-119.</w:t>
            </w:r>
          </w:p>
          <w:p w14:paraId="0EFBC0E3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F2716">
              <w:rPr>
                <w:rFonts w:ascii="Times New Roman" w:hAnsi="Times New Roman" w:cs="Times New Roman"/>
              </w:rPr>
              <w:t xml:space="preserve">DEVELAY, M. </w:t>
            </w:r>
            <w:r w:rsidRPr="007F2716">
              <w:rPr>
                <w:rFonts w:ascii="Times New Roman" w:hAnsi="Times New Roman" w:cs="Times New Roman"/>
                <w:b/>
              </w:rPr>
              <w:t>De l’apprentissage à l’enseignement</w:t>
            </w:r>
            <w:r w:rsidRPr="007F2716">
              <w:rPr>
                <w:rFonts w:ascii="Times New Roman" w:hAnsi="Times New Roman" w:cs="Times New Roman"/>
              </w:rPr>
              <w:t xml:space="preserve">. </w:t>
            </w:r>
            <w:r w:rsidRPr="007F2716">
              <w:rPr>
                <w:rFonts w:ascii="Times New Roman" w:hAnsi="Times New Roman" w:cs="Times New Roman"/>
                <w:lang w:val="en-US"/>
              </w:rPr>
              <w:t>Paris: ESF, 1992.</w:t>
            </w:r>
          </w:p>
          <w:p w14:paraId="6B238533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DOLZ, J. ; SCHNEUWLY, B.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Pour un enseignement de l’oral.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 Paris: ESF, 2002.</w:t>
            </w:r>
          </w:p>
          <w:p w14:paraId="4CB9F355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FERRONI, R.; ORTALE, F.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Perspectivas metodológicas para a análise da interação na sala de aula de língua estrangeira</w:t>
            </w:r>
            <w:r w:rsidRPr="007F2716">
              <w:rPr>
                <w:rFonts w:ascii="Times New Roman" w:hAnsi="Times New Roman" w:cs="Times New Roman"/>
                <w:lang w:val="fr-FR"/>
              </w:rPr>
              <w:t>. Revista Horizontes de Linguística Aplicada, v. 2, n.14, ano 2015, p. 61-89. </w:t>
            </w:r>
          </w:p>
          <w:p w14:paraId="14B8DCD2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>GUERNIER, M.C. ; DURAND-GUERRIER, V. ; SAUTOT, J.P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 xml:space="preserve">. Interactinos verbales, didactiques et apprentissages. </w:t>
            </w:r>
            <w:r w:rsidRPr="007F2716">
              <w:rPr>
                <w:rFonts w:ascii="Times New Roman" w:hAnsi="Times New Roman" w:cs="Times New Roman"/>
                <w:lang w:val="fr-FR"/>
              </w:rPr>
              <w:t>Presses Universitaires de Franche-Comté, Université de Franche Comté, 2006.</w:t>
            </w:r>
          </w:p>
          <w:p w14:paraId="12FC2F12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bCs/>
                <w:lang w:val="fr-FR"/>
              </w:rPr>
              <w:t>KERBRAT-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 ORECCHIONI, C.K. </w:t>
            </w:r>
            <w:r w:rsidRPr="007F2716">
              <w:rPr>
                <w:rFonts w:ascii="Times New Roman" w:hAnsi="Times New Roman" w:cs="Times New Roman"/>
                <w:b/>
                <w:iCs/>
                <w:lang w:val="fr-FR"/>
              </w:rPr>
              <w:t>Les interactions verbales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. Paris : Armand Colin, 1990. </w:t>
            </w:r>
          </w:p>
          <w:p w14:paraId="6FA683A7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fr-FR"/>
              </w:rPr>
            </w:pPr>
            <w:r w:rsidRPr="007F2716">
              <w:rPr>
                <w:rFonts w:ascii="Times New Roman" w:hAnsi="Times New Roman" w:cs="Times New Roman"/>
                <w:bCs/>
                <w:lang w:val="fr-FR"/>
              </w:rPr>
              <w:t xml:space="preserve">KRAMSCH, C. </w:t>
            </w:r>
            <w:r w:rsidRPr="007F2716">
              <w:rPr>
                <w:rFonts w:ascii="Times New Roman" w:hAnsi="Times New Roman" w:cs="Times New Roman"/>
                <w:b/>
                <w:bCs/>
                <w:iCs/>
                <w:lang w:val="fr-FR"/>
              </w:rPr>
              <w:t>Interaction et discours dans la classe de langue</w:t>
            </w:r>
            <w:r w:rsidRPr="007F2716">
              <w:rPr>
                <w:rFonts w:ascii="Times New Roman" w:hAnsi="Times New Roman" w:cs="Times New Roman"/>
                <w:bCs/>
                <w:lang w:val="fr-FR"/>
              </w:rPr>
              <w:t>. Paris: Hatier, 1984.</w:t>
            </w:r>
          </w:p>
          <w:p w14:paraId="62158DC2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lastRenderedPageBreak/>
              <w:t xml:space="preserve">LHOTE, E.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Enseigner l’oral en interaction</w:t>
            </w:r>
            <w:r w:rsidRPr="007F2716">
              <w:rPr>
                <w:rFonts w:ascii="Times New Roman" w:hAnsi="Times New Roman" w:cs="Times New Roman"/>
                <w:lang w:val="fr-FR"/>
              </w:rPr>
              <w:t>. Paris : Hachette, 1995.</w:t>
            </w:r>
          </w:p>
          <w:p w14:paraId="6FEC417C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LUZZATI, D. </w:t>
            </w:r>
            <w:r w:rsidRPr="007F2716">
              <w:rPr>
                <w:rFonts w:ascii="Times New Roman" w:hAnsi="Times New Roman" w:cs="Times New Roman"/>
                <w:iCs/>
                <w:lang w:val="fr-FR"/>
              </w:rPr>
              <w:t>Enseigner l'oral spontané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 In: BEACCO, Jean-Claude. </w:t>
            </w:r>
            <w:r w:rsidRPr="007F2716">
              <w:rPr>
                <w:rFonts w:ascii="Times New Roman" w:hAnsi="Times New Roman" w:cs="Times New Roman"/>
                <w:b/>
                <w:iCs/>
                <w:lang w:val="fr-FR"/>
              </w:rPr>
              <w:t>Éthique et politique en didactique des langues</w:t>
            </w:r>
            <w:r w:rsidRPr="007F2716">
              <w:rPr>
                <w:rFonts w:ascii="Times New Roman" w:hAnsi="Times New Roman" w:cs="Times New Roman"/>
                <w:i/>
                <w:iCs/>
                <w:lang w:val="fr-FR"/>
              </w:rPr>
              <w:t xml:space="preserve"> – 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Autour de lanotion de responsabilité. Paris: Éditions Didier, 2013. </w:t>
            </w:r>
          </w:p>
          <w:p w14:paraId="55993578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MONDADA, L.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Contributions de la linguistique interactionnelle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. Congrès Mondial de Linguistique Française. Paris, 2008. Disponível em </w:t>
            </w:r>
            <w:hyperlink r:id="rId9" w:history="1">
              <w:r w:rsidRPr="007F2716">
                <w:rPr>
                  <w:rStyle w:val="Hyperlink"/>
                  <w:rFonts w:ascii="Times New Roman" w:hAnsi="Times New Roman" w:cs="Times New Roman"/>
                  <w:lang w:val="fr-FR"/>
                </w:rPr>
                <w:t>https://www.linguistiquefrancaise.org/articles/cmlf/abs/2008/01/cmlf08348/cmlf08348.html Acesso em 06/06/2016</w:t>
              </w:r>
            </w:hyperlink>
            <w:r w:rsidRPr="007F2716">
              <w:rPr>
                <w:rFonts w:ascii="Times New Roman" w:hAnsi="Times New Roman" w:cs="Times New Roman"/>
                <w:lang w:val="fr-FR"/>
              </w:rPr>
              <w:t>.</w:t>
            </w:r>
          </w:p>
          <w:p w14:paraId="71A52D82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</w:pPr>
            <w:r w:rsidRPr="007F2716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NUSSBAUM, L. Émergence de la conscience langagière en travail de groupe entre apprenants de langue étrangère. In: </w:t>
            </w:r>
            <w:r w:rsidRPr="007F2716">
              <w:rPr>
                <w:rStyle w:val="nfase"/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Langages</w:t>
            </w:r>
            <w:r w:rsidRPr="007F2716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, 33</w:t>
            </w:r>
            <w:r w:rsidRPr="007F271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ᵉ</w:t>
            </w:r>
            <w:r w:rsidRPr="007F2716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 xml:space="preserve"> année, n°134, 1999. </w:t>
            </w:r>
            <w:r w:rsidRPr="007F2716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fr-FR"/>
              </w:rPr>
              <w:t>Interaction et langue étrangère</w:t>
            </w:r>
            <w:r w:rsidRPr="007F2716">
              <w:rPr>
                <w:rFonts w:ascii="Times New Roman" w:hAnsi="Times New Roman" w:cs="Times New Roman"/>
                <w:color w:val="000000"/>
                <w:shd w:val="clear" w:color="auto" w:fill="FFFFFF"/>
                <w:lang w:val="fr-FR"/>
              </w:rPr>
              <w:t>, sous la direction de Jo Arditty et Marie-Thérèse Vasseur. pp. 35-50.</w:t>
            </w:r>
          </w:p>
          <w:p w14:paraId="68CFCA29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PENDANX, M.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Les activités d’apprentissage en classe de langue.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7F2716">
              <w:rPr>
                <w:rFonts w:ascii="Times New Roman" w:hAnsi="Times New Roman" w:cs="Times New Roman"/>
                <w:lang w:val="sv"/>
              </w:rPr>
              <w:t xml:space="preserve">Paris: Hachette, 1998. </w:t>
            </w:r>
          </w:p>
          <w:p w14:paraId="068B8381" w14:textId="77777777" w:rsidR="007411DA" w:rsidRPr="007F2716" w:rsidRDefault="007411DA" w:rsidP="007411DA">
            <w:pPr>
              <w:spacing w:line="240" w:lineRule="auto"/>
              <w:jc w:val="both"/>
              <w:rPr>
                <w:rStyle w:val="Hyperlink"/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sv"/>
              </w:rPr>
              <w:t xml:space="preserve">PEKAREK-DOEHLER, S. (2000). 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“Approches interactionnistes de l’acquisition des langues étrangères: concepts, recherches, perspectives”. In: </w:t>
            </w:r>
            <w:r w:rsidRPr="007F2716">
              <w:rPr>
                <w:rFonts w:ascii="Times New Roman" w:hAnsi="Times New Roman" w:cs="Times New Roman"/>
                <w:b/>
                <w:iCs/>
                <w:lang w:val="fr-FR"/>
              </w:rPr>
              <w:t>Aile-Acquisition et interaction en Langue Étrangère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, nº 12, Association Encrages, p. 03-26. Disponível em :  </w:t>
            </w:r>
            <w:hyperlink r:id="rId10" w:history="1">
              <w:r w:rsidRPr="007F2716">
                <w:rPr>
                  <w:rStyle w:val="Hyperlink"/>
                  <w:rFonts w:ascii="Times New Roman" w:hAnsi="Times New Roman" w:cs="Times New Roman"/>
                  <w:lang w:val="fr-FR"/>
                </w:rPr>
                <w:t>http://aile.revues.org/934</w:t>
              </w:r>
            </w:hyperlink>
          </w:p>
          <w:p w14:paraId="3140A1F6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F2716">
              <w:rPr>
                <w:rFonts w:ascii="Times New Roman" w:hAnsi="Times New Roman" w:cs="Times New Roman"/>
              </w:rPr>
              <w:t xml:space="preserve">SACKS, H., SCHEGLOFF, E.A., JEFFERSON, G. </w:t>
            </w:r>
            <w:r w:rsidRPr="007F2716">
              <w:rPr>
                <w:rFonts w:ascii="Times New Roman" w:hAnsi="Times New Roman" w:cs="Times New Roman"/>
                <w:b/>
                <w:i/>
              </w:rPr>
              <w:t>Sistemática elementar para a organização da tomada de turnos para a conversa</w:t>
            </w:r>
            <w:r w:rsidRPr="007F2716">
              <w:rPr>
                <w:rFonts w:ascii="Times New Roman" w:hAnsi="Times New Roman" w:cs="Times New Roman"/>
              </w:rPr>
              <w:t>. Traduzido por NAME, M.C. e GAGO, P.C.; Veredas, Juiz de Fora, 2003.</w:t>
            </w:r>
          </w:p>
          <w:p w14:paraId="179239C1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color w:val="000000"/>
                <w:lang w:val="en-US"/>
              </w:rPr>
              <w:t xml:space="preserve">SINCLAIR, J.M.; COULTHARD, R.M. </w:t>
            </w:r>
            <w:r w:rsidRPr="007F2716">
              <w:rPr>
                <w:rFonts w:ascii="Times New Roman" w:hAnsi="Times New Roman" w:cs="Times New Roman"/>
                <w:b/>
                <w:color w:val="000000"/>
                <w:lang w:val="en-US"/>
              </w:rPr>
              <w:t>Towards an analysis of discourse: the english used by teachers and pupils</w:t>
            </w:r>
            <w:r w:rsidRPr="007F2716">
              <w:rPr>
                <w:rFonts w:ascii="Times New Roman" w:hAnsi="Times New Roman" w:cs="Times New Roman"/>
                <w:color w:val="000000"/>
                <w:lang w:val="en-US"/>
              </w:rPr>
              <w:t>. London: Oxford University Press, 1975. </w:t>
            </w:r>
          </w:p>
          <w:p w14:paraId="5FBE5D5B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SPRINGER, C. </w:t>
            </w:r>
            <w:r w:rsidRPr="007F2716">
              <w:rPr>
                <w:rFonts w:ascii="Times New Roman" w:hAnsi="Times New Roman" w:cs="Times New Roman"/>
                <w:iCs/>
                <w:lang w:val="fr-FR"/>
              </w:rPr>
              <w:t>La dimension sociale dans le CECR : pistes pour scénariser, évaluer et valoriser l’apprentissage collaboratif</w:t>
            </w:r>
            <w:r w:rsidRPr="007F2716">
              <w:rPr>
                <w:rFonts w:ascii="Times New Roman" w:hAnsi="Times New Roman" w:cs="Times New Roman"/>
                <w:lang w:val="fr-FR"/>
              </w:rPr>
              <w:t>. In 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: Le Français dans le Monde- Recherches et applications</w:t>
            </w:r>
            <w:r w:rsidRPr="007F2716">
              <w:rPr>
                <w:rFonts w:ascii="Times New Roman" w:hAnsi="Times New Roman" w:cs="Times New Roman"/>
                <w:lang w:val="fr-FR"/>
              </w:rPr>
              <w:t>. Paris: CLE International, 2009.</w:t>
            </w:r>
          </w:p>
          <w:p w14:paraId="25104766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VASSEUR, M.T.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Rencontres de langues, questions d’interaction</w:t>
            </w:r>
            <w:r w:rsidRPr="007F2716">
              <w:rPr>
                <w:rFonts w:ascii="Times New Roman" w:hAnsi="Times New Roman" w:cs="Times New Roman"/>
                <w:lang w:val="fr-FR"/>
              </w:rPr>
              <w:t>. Paris : Didier, 2005.</w:t>
            </w:r>
          </w:p>
          <w:p w14:paraId="7C8FD7A3" w14:textId="77777777" w:rsidR="007411DA" w:rsidRPr="007F2716" w:rsidRDefault="007411DA" w:rsidP="007411DA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VIGNER, G.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Interactions, dialogues, conversations: l’oral en français langue étrangère. Paris: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 Hachette, 2015.</w:t>
            </w:r>
          </w:p>
          <w:p w14:paraId="35508246" w14:textId="77777777" w:rsidR="007411DA" w:rsidRPr="007F2716" w:rsidRDefault="007411DA" w:rsidP="007411DA">
            <w:pPr>
              <w:spacing w:line="240" w:lineRule="auto"/>
              <w:jc w:val="both"/>
              <w:rPr>
                <w:rFonts w:ascii="Times New Roman" w:hAnsi="Times New Roman" w:cs="Times New Roman"/>
                <w:lang w:val="fr-FR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WEBER, C. </w:t>
            </w:r>
            <w:r w:rsidRPr="007F2716">
              <w:rPr>
                <w:rFonts w:ascii="Times New Roman" w:hAnsi="Times New Roman" w:cs="Times New Roman"/>
                <w:b/>
                <w:iCs/>
                <w:lang w:val="fr-FR"/>
              </w:rPr>
              <w:t>Pour une didactique de l’oralité- enseigner le français tel qu’il est parlé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 xml:space="preserve">. </w:t>
            </w:r>
            <w:r w:rsidRPr="007F2716">
              <w:rPr>
                <w:rFonts w:ascii="Times New Roman" w:hAnsi="Times New Roman" w:cs="Times New Roman"/>
                <w:lang w:val="fr-FR"/>
              </w:rPr>
              <w:t xml:space="preserve">Paris : Didier, 2013. </w:t>
            </w:r>
          </w:p>
          <w:p w14:paraId="67A20690" w14:textId="6CA28D38" w:rsidR="007411DA" w:rsidRPr="009F74AE" w:rsidRDefault="007411DA" w:rsidP="00741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716">
              <w:rPr>
                <w:rFonts w:ascii="Times New Roman" w:hAnsi="Times New Roman" w:cs="Times New Roman"/>
                <w:lang w:val="fr-FR"/>
              </w:rPr>
              <w:t xml:space="preserve">WIDDOWSON, H.G. </w:t>
            </w:r>
            <w:r w:rsidRPr="007F2716">
              <w:rPr>
                <w:rFonts w:ascii="Times New Roman" w:hAnsi="Times New Roman" w:cs="Times New Roman"/>
                <w:b/>
                <w:lang w:val="fr-FR"/>
              </w:rPr>
              <w:t>O Ensino de línguas para a comunicação</w:t>
            </w:r>
            <w:r w:rsidRPr="007F2716">
              <w:rPr>
                <w:rFonts w:ascii="Times New Roman" w:hAnsi="Times New Roman" w:cs="Times New Roman"/>
                <w:lang w:val="fr-FR"/>
              </w:rPr>
              <w:t>. Campinas: Pontes Editores, 2005</w:t>
            </w:r>
            <w:r w:rsidRPr="007F2716">
              <w:rPr>
                <w:rFonts w:ascii="Times New Roman" w:hAnsi="Times New Roman" w:cs="Times New Roman"/>
              </w:rPr>
              <w:t>.</w:t>
            </w:r>
          </w:p>
        </w:tc>
      </w:tr>
      <w:tr w:rsidR="007411DA" w14:paraId="127A31D7" w14:textId="77777777" w:rsidTr="008E1CB7">
        <w:tc>
          <w:tcPr>
            <w:tcW w:w="3432" w:type="dxa"/>
            <w:shd w:val="clear" w:color="auto" w:fill="auto"/>
          </w:tcPr>
          <w:p w14:paraId="0C4AB64A" w14:textId="77777777" w:rsidR="007411DA" w:rsidRDefault="007411DA" w:rsidP="007411D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lastRenderedPageBreak/>
              <w:t>Bibliografia Complementar</w:t>
            </w:r>
          </w:p>
        </w:tc>
        <w:tc>
          <w:tcPr>
            <w:tcW w:w="7200" w:type="dxa"/>
            <w:shd w:val="clear" w:color="auto" w:fill="auto"/>
          </w:tcPr>
          <w:p w14:paraId="293FDFD2" w14:textId="137F5578" w:rsidR="007411DA" w:rsidRPr="009F74AE" w:rsidRDefault="007411DA" w:rsidP="007411DA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11DA" w14:paraId="69DE1DE4" w14:textId="77777777" w:rsidTr="008E1CB7">
        <w:tc>
          <w:tcPr>
            <w:tcW w:w="3432" w:type="dxa"/>
            <w:shd w:val="clear" w:color="auto" w:fill="auto"/>
          </w:tcPr>
          <w:p w14:paraId="74D6C192" w14:textId="77777777" w:rsidR="007411DA" w:rsidRDefault="007411DA" w:rsidP="007411DA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7200" w:type="dxa"/>
            <w:shd w:val="clear" w:color="auto" w:fill="auto"/>
          </w:tcPr>
          <w:p w14:paraId="6DCCEE47" w14:textId="75FA042E" w:rsidR="007411DA" w:rsidRPr="009F74AE" w:rsidRDefault="007411DA" w:rsidP="007411DA">
            <w:pPr>
              <w:spacing w:before="20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Não é obrigatória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proficiência 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 em francês. </w:t>
            </w:r>
          </w:p>
        </w:tc>
      </w:tr>
    </w:tbl>
    <w:p w14:paraId="092D96AA" w14:textId="77777777" w:rsidR="002055BB" w:rsidRDefault="002055BB"/>
    <w:p w14:paraId="34F99B46" w14:textId="77777777" w:rsidR="002055BB" w:rsidRDefault="002055BB"/>
    <w:p w14:paraId="66C6AA03" w14:textId="77777777" w:rsidR="002055BB" w:rsidRDefault="002055BB"/>
    <w:p w14:paraId="6E753045" w14:textId="77777777" w:rsidR="002055BB" w:rsidRDefault="002055BB"/>
    <w:sectPr w:rsidR="002055BB">
      <w:headerReference w:type="default" r:id="rId11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9ECA8" w14:textId="77777777" w:rsidR="00000000" w:rsidRDefault="000E606F">
      <w:pPr>
        <w:spacing w:after="0" w:line="240" w:lineRule="auto"/>
      </w:pPr>
      <w:r>
        <w:separator/>
      </w:r>
    </w:p>
  </w:endnote>
  <w:endnote w:type="continuationSeparator" w:id="0">
    <w:p w14:paraId="676A12C3" w14:textId="77777777" w:rsidR="00000000" w:rsidRDefault="000E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9B896" w14:textId="77777777" w:rsidR="00000000" w:rsidRDefault="000E606F">
      <w:pPr>
        <w:spacing w:after="0" w:line="240" w:lineRule="auto"/>
      </w:pPr>
      <w:r>
        <w:separator/>
      </w:r>
    </w:p>
  </w:footnote>
  <w:footnote w:type="continuationSeparator" w:id="0">
    <w:p w14:paraId="23F4C05A" w14:textId="77777777" w:rsidR="00000000" w:rsidRDefault="000E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3196" w14:textId="77777777" w:rsidR="002055BB" w:rsidRDefault="002055BB">
    <w:pPr>
      <w:widowControl w:val="0"/>
      <w:spacing w:after="0"/>
      <w:rPr>
        <w:rFonts w:ascii="Arial" w:eastAsia="Arial" w:hAnsi="Arial" w:cs="Arial"/>
        <w:sz w:val="18"/>
        <w:szCs w:val="18"/>
      </w:rPr>
    </w:pPr>
  </w:p>
  <w:tbl>
    <w:tblPr>
      <w:tblStyle w:val="a2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2055BB" w14:paraId="04DE3113" w14:textId="77777777">
      <w:trPr>
        <w:trHeight w:val="1416"/>
      </w:trPr>
      <w:tc>
        <w:tcPr>
          <w:tcW w:w="4236" w:type="dxa"/>
          <w:shd w:val="clear" w:color="auto" w:fill="auto"/>
        </w:tcPr>
        <w:p w14:paraId="072C2109" w14:textId="77777777" w:rsidR="002055BB" w:rsidRDefault="000E606F">
          <w:pPr>
            <w:spacing w:after="0" w:line="240" w:lineRule="auto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535353"/>
              <w:sz w:val="18"/>
              <w:szCs w:val="18"/>
            </w:rPr>
            <w:drawing>
              <wp:inline distT="0" distB="0" distL="0" distR="0" wp14:anchorId="350581AF" wp14:editId="2F4CF06A">
                <wp:extent cx="1715453" cy="766294"/>
                <wp:effectExtent l="0" t="0" r="0" b="0"/>
                <wp:docPr id="2" name="image1.jpg" descr="Descrição: D:\Downloads\Desde1991-CMYK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ção: D:\Downloads\Desde1991-CMYK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453" cy="76629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42FC0C11" w14:textId="77777777" w:rsidR="002055BB" w:rsidRDefault="002055BB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</w:p>
        <w:p w14:paraId="5A67D20C" w14:textId="77777777" w:rsidR="002055BB" w:rsidRDefault="000E606F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>Universidade de São Paulo</w:t>
          </w:r>
        </w:p>
        <w:p w14:paraId="5BF20973" w14:textId="77777777" w:rsidR="002055BB" w:rsidRDefault="000E606F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 xml:space="preserve">Faculdade de Filosofia, Letras e Ciências Humanas </w:t>
          </w: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br/>
            <w:t>Cidade Universitária – São Paulo-SP</w:t>
          </w:r>
        </w:p>
        <w:p w14:paraId="6F615A9D" w14:textId="77777777" w:rsidR="002055BB" w:rsidRDefault="000E606F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color w:val="002060"/>
              <w:sz w:val="18"/>
              <w:szCs w:val="18"/>
            </w:rPr>
            <w:t>Site: www.clinguas.fflch.usp.br – Tel.: (11) 3091.2416</w:t>
          </w:r>
        </w:p>
      </w:tc>
    </w:tr>
  </w:tbl>
  <w:p w14:paraId="5B0D5914" w14:textId="77777777" w:rsidR="002055BB" w:rsidRDefault="002055BB">
    <w:pPr>
      <w:tabs>
        <w:tab w:val="center" w:pos="4252"/>
        <w:tab w:val="right" w:pos="8504"/>
      </w:tabs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632F7"/>
    <w:multiLevelType w:val="hybridMultilevel"/>
    <w:tmpl w:val="259AF106"/>
    <w:lvl w:ilvl="0" w:tplc="4852EA96">
      <w:start w:val="2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03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5BB"/>
    <w:rsid w:val="000E606F"/>
    <w:rsid w:val="00107AC6"/>
    <w:rsid w:val="002055BB"/>
    <w:rsid w:val="0036001A"/>
    <w:rsid w:val="007411DA"/>
    <w:rsid w:val="007C11B9"/>
    <w:rsid w:val="008A1B5F"/>
    <w:rsid w:val="008E1CB7"/>
    <w:rsid w:val="009F74AE"/>
    <w:rsid w:val="00AD4B57"/>
    <w:rsid w:val="00DE1A4D"/>
    <w:rsid w:val="00E4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921A"/>
  <w15:docId w15:val="{C48C31C9-F9F0-4A3E-8EB4-11A00612A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40E"/>
    <w:pPr>
      <w:ind w:left="720"/>
      <w:contextualSpacing/>
    </w:p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uiPriority w:val="99"/>
    <w:rsid w:val="007411DA"/>
    <w:rPr>
      <w:color w:val="0000FF"/>
      <w:u w:val="single"/>
    </w:rPr>
  </w:style>
  <w:style w:type="character" w:styleId="nfase">
    <w:name w:val="Emphasis"/>
    <w:uiPriority w:val="20"/>
    <w:qFormat/>
    <w:rsid w:val="007411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discor.revues.org/4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ile.revues.org/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guistiquefrancaise.org/articles/cmlf/abs/2008/01/cmlf08348/cmlf08348.html%20Acesso%20em%2006/06/201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cbj9am2XUrg+sCg3E1pjYogyA==">AMUW2mUl7INC/jJIJGiWXe9Bf0ZBnnfdzLr0RqXzqAkMP+nEmGSRDMh5LVFlX33kr7n+5UZuyFUvD9PfMSktTBrVN3f/lhWOSZLDdeBTqNEE1aHgPcg3HnJwVi7lM8z46BjxnqsYrJN8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1522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de Souza Mandalá</dc:creator>
  <cp:lastModifiedBy>Rita de Cássia Gomes</cp:lastModifiedBy>
  <cp:revision>10</cp:revision>
  <dcterms:created xsi:type="dcterms:W3CDTF">2022-07-11T16:41:00Z</dcterms:created>
  <dcterms:modified xsi:type="dcterms:W3CDTF">2022-07-11T17:19:00Z</dcterms:modified>
</cp:coreProperties>
</file>