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3754" w:rsidRDefault="007116B4">
      <w:pP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i/>
          <w:color w:val="BB153D"/>
          <w:sz w:val="38"/>
          <w:szCs w:val="38"/>
        </w:rPr>
        <w:t>Programa de Oficina</w:t>
      </w:r>
    </w:p>
    <w:p w:rsidR="00C33754" w:rsidRDefault="00C33754">
      <w:pPr>
        <w:rPr>
          <w:color w:val="000000"/>
        </w:rPr>
      </w:pPr>
    </w:p>
    <w:tbl>
      <w:tblPr>
        <w:tblStyle w:val="a2"/>
        <w:tblW w:w="8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1"/>
      </w:tblGrid>
      <w:tr w:rsidR="00C33754">
        <w:trPr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NOME DA OFICINA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>: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 Como estudar o vocabulário japonês: </w:t>
            </w:r>
            <w:proofErr w:type="spellStart"/>
            <w:r w:rsidRPr="003579D0">
              <w:rPr>
                <w:rFonts w:ascii="Calibri" w:eastAsia="Calibri" w:hAnsi="Calibri" w:cs="Calibri"/>
                <w:sz w:val="26"/>
                <w:szCs w:val="26"/>
              </w:rPr>
              <w:t>Anki</w:t>
            </w:r>
            <w:proofErr w:type="spellEnd"/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, Hábitos e </w:t>
            </w:r>
            <w:bookmarkStart w:id="0" w:name="_GoBack"/>
            <w:bookmarkEnd w:id="0"/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Objetivos </w:t>
            </w: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(Tarde)</w:t>
            </w:r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Professor responsável: </w:t>
            </w:r>
            <w:proofErr w:type="spellStart"/>
            <w:r w:rsidRPr="003579D0">
              <w:rPr>
                <w:rFonts w:ascii="Calibri" w:eastAsia="Calibri" w:hAnsi="Calibri" w:cs="Calibri"/>
                <w:sz w:val="26"/>
                <w:szCs w:val="26"/>
              </w:rPr>
              <w:t>Junko</w:t>
            </w:r>
            <w:proofErr w:type="spellEnd"/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 Ota/ Liliana </w:t>
            </w:r>
            <w:proofErr w:type="spellStart"/>
            <w:r w:rsidRPr="003579D0">
              <w:rPr>
                <w:rFonts w:ascii="Calibri" w:eastAsia="Calibri" w:hAnsi="Calibri" w:cs="Calibri"/>
                <w:sz w:val="26"/>
                <w:szCs w:val="26"/>
              </w:rPr>
              <w:t>Y.M.Oda</w:t>
            </w:r>
            <w:proofErr w:type="spellEnd"/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Ministrante: </w:t>
            </w:r>
            <w:proofErr w:type="spellStart"/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Estevan</w:t>
            </w:r>
            <w:proofErr w:type="spellEnd"/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Cavinatto</w:t>
            </w:r>
            <w:proofErr w:type="spellEnd"/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Rivero</w:t>
            </w:r>
            <w:proofErr w:type="spellEnd"/>
          </w:p>
        </w:tc>
      </w:tr>
      <w:tr w:rsidR="00C33754">
        <w:trPr>
          <w:trHeight w:val="112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Dia e horário: 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>3 e 10/10, das 14h às 16h</w:t>
            </w:r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Carga horária total: </w:t>
            </w: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4h</w:t>
            </w:r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Nº de vagas: 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>10 vagas público USP</w:t>
            </w:r>
          </w:p>
        </w:tc>
      </w:tr>
      <w:tr w:rsidR="00C33754">
        <w:trPr>
          <w:trHeight w:val="112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Local: 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Presencial. </w:t>
            </w:r>
          </w:p>
          <w:p w:rsidR="00C33754" w:rsidRPr="003579D0" w:rsidRDefault="007116B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*Requer um aparelho eletrônico que comporte o aplicativo </w:t>
            </w:r>
            <w:proofErr w:type="spellStart"/>
            <w:r w:rsidRPr="003579D0">
              <w:rPr>
                <w:rFonts w:ascii="Calibri" w:eastAsia="Calibri" w:hAnsi="Calibri" w:cs="Calibri"/>
                <w:i/>
                <w:sz w:val="26"/>
                <w:szCs w:val="26"/>
              </w:rPr>
              <w:t>Ankidroid</w:t>
            </w:r>
            <w:proofErr w:type="spellEnd"/>
            <w:r w:rsidRPr="003579D0">
              <w:rPr>
                <w:rFonts w:ascii="Calibri" w:eastAsia="Calibri" w:hAnsi="Calibri" w:cs="Calibri"/>
                <w:sz w:val="26"/>
                <w:szCs w:val="26"/>
              </w:rPr>
              <w:t xml:space="preserve"> que possa ser usado durante a oficina.</w:t>
            </w:r>
          </w:p>
        </w:tc>
      </w:tr>
      <w:tr w:rsidR="00C33754">
        <w:trPr>
          <w:trHeight w:val="76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Público alvo: 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>Alunos da USP</w:t>
            </w:r>
          </w:p>
          <w:p w:rsidR="00C33754" w:rsidRPr="003579D0" w:rsidRDefault="00C3375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Pago? </w:t>
            </w:r>
            <w:r w:rsidRPr="003579D0">
              <w:rPr>
                <w:rFonts w:ascii="Calibri" w:eastAsia="Calibri" w:hAnsi="Calibri" w:cs="Calibri"/>
                <w:sz w:val="26"/>
                <w:szCs w:val="26"/>
              </w:rPr>
              <w:t>sim</w:t>
            </w:r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Comunidade USP: ( </w:t>
            </w: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) Sim ( ) Não</w:t>
            </w:r>
          </w:p>
        </w:tc>
      </w:tr>
      <w:tr w:rsidR="00C33754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C33754" w:rsidRPr="003579D0" w:rsidRDefault="007116B4">
            <w:pPr>
              <w:rPr>
                <w:rFonts w:ascii="Calibri" w:eastAsia="Calibri" w:hAnsi="Calibri" w:cs="Calibri"/>
                <w:b/>
              </w:rPr>
            </w:pP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Público Externo: ( ) Sim ( </w:t>
            </w: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  <w:r w:rsidRPr="003579D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) Não</w:t>
            </w:r>
          </w:p>
        </w:tc>
      </w:tr>
    </w:tbl>
    <w:p w:rsidR="00C33754" w:rsidRDefault="00C33754"/>
    <w:p w:rsidR="00C33754" w:rsidRPr="003579D0" w:rsidRDefault="00C33754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C33754" w:rsidRPr="003579D0" w:rsidRDefault="007116B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b/>
          <w:sz w:val="26"/>
          <w:szCs w:val="26"/>
        </w:rPr>
        <w:t xml:space="preserve">1 – Programa: </w:t>
      </w:r>
    </w:p>
    <w:p w:rsidR="00C33754" w:rsidRPr="003579D0" w:rsidRDefault="007116B4">
      <w:pPr>
        <w:spacing w:line="36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>Parte teórica</w:t>
      </w:r>
    </w:p>
    <w:p w:rsidR="00C33754" w:rsidRPr="003579D0" w:rsidRDefault="007116B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 xml:space="preserve">Explicar: </w:t>
      </w:r>
    </w:p>
    <w:p w:rsidR="00C33754" w:rsidRPr="003579D0" w:rsidRDefault="007116B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 xml:space="preserve">Porque o </w:t>
      </w:r>
      <w:proofErr w:type="spellStart"/>
      <w:r w:rsidRPr="003579D0">
        <w:rPr>
          <w:rFonts w:ascii="Calibri" w:eastAsia="Calibri" w:hAnsi="Calibri" w:cs="Calibri"/>
          <w:sz w:val="26"/>
          <w:szCs w:val="26"/>
        </w:rPr>
        <w:t>Ankidroid</w:t>
      </w:r>
      <w:proofErr w:type="spellEnd"/>
      <w:r w:rsidRPr="003579D0">
        <w:rPr>
          <w:rFonts w:ascii="Calibri" w:eastAsia="Calibri" w:hAnsi="Calibri" w:cs="Calibri"/>
          <w:sz w:val="26"/>
          <w:szCs w:val="26"/>
        </w:rPr>
        <w:t xml:space="preserve"> é um aplicativo adequado para o estudo de língua japonesa;</w:t>
      </w:r>
    </w:p>
    <w:p w:rsidR="00C33754" w:rsidRPr="003579D0" w:rsidRDefault="007116B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>Como funciona a memória, estabelecimento de objetivos e hábitos e como integrar esse conhecimento aos estudos da língua japonesa.</w:t>
      </w:r>
    </w:p>
    <w:p w:rsidR="00C33754" w:rsidRPr="003579D0" w:rsidRDefault="00C3375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33754" w:rsidRPr="003579D0" w:rsidRDefault="007116B4">
      <w:pPr>
        <w:spacing w:line="36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>Parte prática</w:t>
      </w:r>
    </w:p>
    <w:p w:rsidR="00C33754" w:rsidRPr="003579D0" w:rsidRDefault="007116B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lastRenderedPageBreak/>
        <w:t>Utilizar o aplicativo durante a oficina para auxiliar o participante em dúvidas e problemas que ele possa encon</w:t>
      </w:r>
      <w:r w:rsidRPr="003579D0">
        <w:rPr>
          <w:rFonts w:ascii="Calibri" w:eastAsia="Calibri" w:hAnsi="Calibri" w:cs="Calibri"/>
          <w:sz w:val="26"/>
          <w:szCs w:val="26"/>
        </w:rPr>
        <w:t>trar em seu manuseio.</w:t>
      </w:r>
    </w:p>
    <w:p w:rsidR="00C33754" w:rsidRPr="003579D0" w:rsidRDefault="00C3375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33754" w:rsidRPr="003579D0" w:rsidRDefault="007116B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 xml:space="preserve"> </w:t>
      </w:r>
    </w:p>
    <w:p w:rsidR="00C33754" w:rsidRPr="003579D0" w:rsidRDefault="00C3375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33754" w:rsidRPr="003579D0" w:rsidRDefault="007116B4">
      <w:pPr>
        <w:spacing w:before="120"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b/>
          <w:sz w:val="26"/>
          <w:szCs w:val="26"/>
        </w:rPr>
        <w:t xml:space="preserve">2 – Objetivo geral: </w:t>
      </w:r>
      <w:r w:rsidRPr="003579D0">
        <w:rPr>
          <w:rFonts w:ascii="Calibri" w:eastAsia="Calibri" w:hAnsi="Calibri" w:cs="Calibri"/>
          <w:sz w:val="26"/>
          <w:szCs w:val="26"/>
        </w:rPr>
        <w:t>Uma dificuldade que estudantes de língua japonesa possuem é ter que lidar com a grande quantidade de léxico e ideogramas que necessitam ser aprendidos. Alunos da habilitação de japonês sofrem com similares prob</w:t>
      </w:r>
      <w:r w:rsidRPr="003579D0">
        <w:rPr>
          <w:rFonts w:ascii="Calibri" w:eastAsia="Calibri" w:hAnsi="Calibri" w:cs="Calibri"/>
          <w:sz w:val="26"/>
          <w:szCs w:val="26"/>
        </w:rPr>
        <w:t xml:space="preserve">lemas, além da grande quantidade de matéria que lhes é cobrada. </w:t>
      </w:r>
    </w:p>
    <w:p w:rsidR="00C33754" w:rsidRPr="003579D0" w:rsidRDefault="007116B4">
      <w:pPr>
        <w:spacing w:before="120" w:line="360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3579D0">
        <w:rPr>
          <w:rFonts w:ascii="Calibri" w:eastAsia="Calibri" w:hAnsi="Calibri" w:cs="Calibri"/>
          <w:sz w:val="26"/>
          <w:szCs w:val="26"/>
        </w:rPr>
        <w:t>A proposta da oficina é mostrar uma possível postura que o aluno pode tomar em relação ao estudo de japonês, baseada no entendimento de como funciona a memória, o estabelecimento de objetivos</w:t>
      </w:r>
      <w:r w:rsidRPr="003579D0">
        <w:rPr>
          <w:rFonts w:ascii="Calibri" w:eastAsia="Calibri" w:hAnsi="Calibri" w:cs="Calibri"/>
          <w:sz w:val="26"/>
          <w:szCs w:val="26"/>
        </w:rPr>
        <w:t xml:space="preserve"> e hábitos, que os possibilitem lidar com as dificuldades de curto prazo (as demandas da habilitação) e de longo prazo (como constantemente evoluir no japonês) da sua jornada nos estudos da língua japonesa.  </w:t>
      </w:r>
    </w:p>
    <w:p w:rsidR="00C33754" w:rsidRPr="003579D0" w:rsidRDefault="00C33754">
      <w:pPr>
        <w:spacing w:before="120"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33754" w:rsidRPr="003579D0" w:rsidRDefault="007116B4">
      <w:pPr>
        <w:spacing w:before="120"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3579D0">
        <w:rPr>
          <w:rFonts w:ascii="Calibri" w:eastAsia="Calibri" w:hAnsi="Calibri" w:cs="Calibri"/>
          <w:b/>
          <w:sz w:val="26"/>
          <w:szCs w:val="26"/>
        </w:rPr>
        <w:t>3 – Bibliografia:</w:t>
      </w:r>
    </w:p>
    <w:p w:rsidR="003579D0" w:rsidRPr="00AA019B" w:rsidRDefault="003579D0" w:rsidP="003579D0">
      <w:pPr>
        <w:spacing w:line="360" w:lineRule="auto"/>
        <w:rPr>
          <w:rFonts w:ascii="Calibri" w:eastAsia="Calibri" w:hAnsi="Calibri" w:cs="Calibri"/>
          <w:sz w:val="26"/>
          <w:szCs w:val="26"/>
          <w:lang w:val="en-US"/>
        </w:rPr>
      </w:pPr>
      <w:bookmarkStart w:id="1" w:name="_heading=h.ffyzs2a85p6l" w:colFirst="0" w:colLast="0"/>
      <w:bookmarkStart w:id="2" w:name="_heading=h.du6t75u5f7r6" w:colFirst="0" w:colLast="0"/>
      <w:bookmarkEnd w:id="1"/>
      <w:bookmarkEnd w:id="2"/>
      <w:r w:rsidRPr="00AA019B">
        <w:rPr>
          <w:rFonts w:ascii="Calibri" w:eastAsia="Calibri" w:hAnsi="Calibri" w:cs="Calibri"/>
          <w:sz w:val="26"/>
          <w:szCs w:val="26"/>
        </w:rPr>
        <w:t xml:space="preserve">Kahneman, Daniel. </w:t>
      </w:r>
      <w:r w:rsidRPr="00AA019B">
        <w:rPr>
          <w:rFonts w:ascii="Calibri" w:eastAsia="Calibri" w:hAnsi="Calibri" w:cs="Calibri"/>
          <w:i/>
          <w:sz w:val="26"/>
          <w:szCs w:val="26"/>
        </w:rPr>
        <w:t>Rápido e Devagar Duas Formas de Pensar</w:t>
      </w:r>
      <w:r w:rsidRPr="00AA019B">
        <w:rPr>
          <w:rFonts w:ascii="Calibri" w:eastAsia="Calibri" w:hAnsi="Calibri" w:cs="Calibri"/>
          <w:sz w:val="26"/>
          <w:szCs w:val="26"/>
        </w:rPr>
        <w:t xml:space="preserve">. </w:t>
      </w:r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São Paulo: </w:t>
      </w:r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Objetiva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>, 2012.</w:t>
      </w:r>
    </w:p>
    <w:p w:rsidR="003579D0" w:rsidRPr="00AA019B" w:rsidRDefault="003579D0" w:rsidP="003579D0">
      <w:pPr>
        <w:spacing w:line="360" w:lineRule="auto"/>
        <w:rPr>
          <w:rFonts w:ascii="Calibri" w:eastAsia="Calibri" w:hAnsi="Calibri" w:cs="Calibri"/>
          <w:sz w:val="26"/>
          <w:szCs w:val="26"/>
          <w:lang w:val="en-US"/>
        </w:rPr>
      </w:pPr>
      <w:bookmarkStart w:id="3" w:name="_heading=h.qz2te8d75rsw" w:colFirst="0" w:colLast="0"/>
      <w:bookmarkEnd w:id="3"/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Baddley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, Alan; Eysenck, Michael W.; Anderson, Michael C. </w:t>
      </w:r>
      <w:r w:rsidRPr="00AA019B">
        <w:rPr>
          <w:rFonts w:ascii="Calibri" w:eastAsia="Calibri" w:hAnsi="Calibri" w:cs="Calibri"/>
          <w:i/>
          <w:sz w:val="26"/>
          <w:szCs w:val="26"/>
          <w:lang w:val="en-US"/>
        </w:rPr>
        <w:t>Memory</w:t>
      </w:r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. New York: Psychology Press, 2015. </w:t>
      </w:r>
    </w:p>
    <w:p w:rsidR="003579D0" w:rsidRPr="00AA019B" w:rsidRDefault="003579D0" w:rsidP="003579D0">
      <w:pPr>
        <w:spacing w:line="360" w:lineRule="auto"/>
        <w:rPr>
          <w:rFonts w:ascii="Calibri" w:eastAsia="Calibri" w:hAnsi="Calibri" w:cs="Calibri"/>
          <w:sz w:val="26"/>
          <w:szCs w:val="26"/>
        </w:rPr>
      </w:pPr>
      <w:bookmarkStart w:id="4" w:name="_heading=h.6gghlaosw9vt" w:colFirst="0" w:colLast="0"/>
      <w:bookmarkEnd w:id="4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Wood, Wendy; </w:t>
      </w:r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Rünger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Dennis. Psychology of Habit</w:t>
      </w:r>
      <w:r w:rsidRPr="00AA019B">
        <w:rPr>
          <w:rFonts w:ascii="Calibri" w:eastAsia="Calibri" w:hAnsi="Calibri" w:cs="Calibri"/>
          <w:i/>
          <w:sz w:val="26"/>
          <w:szCs w:val="26"/>
          <w:lang w:val="en-US"/>
        </w:rPr>
        <w:t xml:space="preserve">. </w:t>
      </w:r>
      <w:r w:rsidRPr="00AA019B">
        <w:rPr>
          <w:rFonts w:ascii="Calibri" w:eastAsia="Calibri" w:hAnsi="Calibri" w:cs="Calibri"/>
          <w:b/>
          <w:sz w:val="26"/>
          <w:szCs w:val="26"/>
          <w:lang w:val="en-US"/>
        </w:rPr>
        <w:t>Annual Review of Psychology.</w:t>
      </w:r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California, v.67 p.289-314, </w:t>
      </w:r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jan.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2017. </w:t>
      </w:r>
      <w:r w:rsidRPr="00AA019B">
        <w:rPr>
          <w:rFonts w:ascii="Calibri" w:eastAsia="Calibri" w:hAnsi="Calibri" w:cs="Calibri"/>
          <w:sz w:val="26"/>
          <w:szCs w:val="26"/>
        </w:rPr>
        <w:t xml:space="preserve">Disponível em: </w:t>
      </w:r>
      <w:hyperlink r:id="rId8">
        <w:r w:rsidRPr="00AA019B">
          <w:rPr>
            <w:rFonts w:ascii="Calibri" w:eastAsia="Calibri" w:hAnsi="Calibri" w:cs="Calibri"/>
            <w:sz w:val="26"/>
            <w:szCs w:val="26"/>
            <w:u w:val="single"/>
          </w:rPr>
          <w:t>https://www.annualreviews.org/doi/abs/10.1146/annurev-psych-122414-033417</w:t>
        </w:r>
      </w:hyperlink>
    </w:p>
    <w:p w:rsidR="003579D0" w:rsidRPr="00AA019B" w:rsidRDefault="003579D0" w:rsidP="003579D0">
      <w:pPr>
        <w:spacing w:line="360" w:lineRule="auto"/>
        <w:rPr>
          <w:rFonts w:ascii="Calibri" w:eastAsia="Calibri" w:hAnsi="Calibri" w:cs="Calibri"/>
          <w:sz w:val="26"/>
          <w:szCs w:val="26"/>
          <w:lang w:val="en-US"/>
        </w:rPr>
      </w:pPr>
      <w:bookmarkStart w:id="5" w:name="_heading=h.h01tk3n5jo7y" w:colFirst="0" w:colLast="0"/>
      <w:bookmarkEnd w:id="5"/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Roediger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III, Henry L.; Butler, Andrew C. The Critical Role of Retrieval Practice in Long-term Retention. </w:t>
      </w:r>
      <w:r w:rsidRPr="00AA019B">
        <w:rPr>
          <w:rFonts w:ascii="Calibri" w:eastAsia="Calibri" w:hAnsi="Calibri" w:cs="Calibri"/>
          <w:b/>
          <w:sz w:val="26"/>
          <w:szCs w:val="26"/>
          <w:lang w:val="en-US"/>
        </w:rPr>
        <w:t xml:space="preserve">Trends in Cognitive Sciences. </w:t>
      </w:r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vol. 15, p.20-27, 01 </w:t>
      </w:r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jan.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2011. </w:t>
      </w:r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Disponível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</w:t>
      </w:r>
      <w:proofErr w:type="spellStart"/>
      <w:r w:rsidRPr="00AA019B">
        <w:rPr>
          <w:rFonts w:ascii="Calibri" w:eastAsia="Calibri" w:hAnsi="Calibri" w:cs="Calibri"/>
          <w:sz w:val="26"/>
          <w:szCs w:val="26"/>
          <w:lang w:val="en-US"/>
        </w:rPr>
        <w:t>em</w:t>
      </w:r>
      <w:proofErr w:type="spell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: </w:t>
      </w:r>
      <w:hyperlink r:id="rId9">
        <w:r w:rsidRPr="00AA019B">
          <w:rPr>
            <w:rFonts w:ascii="Calibri" w:eastAsia="Calibri" w:hAnsi="Calibri" w:cs="Calibri"/>
            <w:sz w:val="26"/>
            <w:szCs w:val="26"/>
            <w:u w:val="single"/>
            <w:lang w:val="en-US"/>
          </w:rPr>
          <w:t>https://doi.org/10.1016/j.tics.2010.09.003</w:t>
        </w:r>
      </w:hyperlink>
    </w:p>
    <w:p w:rsidR="003579D0" w:rsidRPr="00AA019B" w:rsidRDefault="003579D0" w:rsidP="003579D0">
      <w:pPr>
        <w:spacing w:line="360" w:lineRule="auto"/>
        <w:rPr>
          <w:rFonts w:ascii="Roboto" w:eastAsia="Roboto" w:hAnsi="Roboto" w:cs="Roboto"/>
          <w:highlight w:val="white"/>
        </w:rPr>
      </w:pPr>
      <w:bookmarkStart w:id="6" w:name="_heading=h.u0tean3y74e3" w:colFirst="0" w:colLast="0"/>
      <w:bookmarkEnd w:id="6"/>
      <w:r w:rsidRPr="00AA019B">
        <w:rPr>
          <w:rFonts w:ascii="Calibri" w:eastAsia="Calibri" w:hAnsi="Calibri" w:cs="Calibri"/>
          <w:sz w:val="26"/>
          <w:szCs w:val="26"/>
          <w:lang w:val="en-US"/>
        </w:rPr>
        <w:lastRenderedPageBreak/>
        <w:t xml:space="preserve">Wilson, Robert C. et al. The </w:t>
      </w:r>
      <w:proofErr w:type="gramStart"/>
      <w:r w:rsidRPr="00AA019B">
        <w:rPr>
          <w:rFonts w:ascii="Calibri" w:eastAsia="Calibri" w:hAnsi="Calibri" w:cs="Calibri"/>
          <w:sz w:val="26"/>
          <w:szCs w:val="26"/>
          <w:lang w:val="en-US"/>
        </w:rPr>
        <w:t>Eighty Five</w:t>
      </w:r>
      <w:proofErr w:type="gramEnd"/>
      <w:r w:rsidRPr="00AA019B">
        <w:rPr>
          <w:rFonts w:ascii="Calibri" w:eastAsia="Calibri" w:hAnsi="Calibri" w:cs="Calibri"/>
          <w:sz w:val="26"/>
          <w:szCs w:val="26"/>
          <w:lang w:val="en-US"/>
        </w:rPr>
        <w:t xml:space="preserve"> Percent Rule for optimal learning. </w:t>
      </w:r>
      <w:proofErr w:type="spellStart"/>
      <w:r w:rsidRPr="00AA019B">
        <w:rPr>
          <w:rFonts w:ascii="Calibri" w:eastAsia="Calibri" w:hAnsi="Calibri" w:cs="Calibri"/>
          <w:b/>
          <w:sz w:val="26"/>
          <w:szCs w:val="26"/>
        </w:rPr>
        <w:t>Nature</w:t>
      </w:r>
      <w:proofErr w:type="spellEnd"/>
      <w:r w:rsidRPr="00AA019B">
        <w:rPr>
          <w:rFonts w:ascii="Calibri" w:eastAsia="Calibri" w:hAnsi="Calibri" w:cs="Calibri"/>
          <w:b/>
          <w:sz w:val="26"/>
          <w:szCs w:val="26"/>
        </w:rPr>
        <w:t xml:space="preserve"> Communications. </w:t>
      </w:r>
      <w:r w:rsidRPr="00AA019B">
        <w:rPr>
          <w:rFonts w:ascii="Calibri" w:eastAsia="Calibri" w:hAnsi="Calibri" w:cs="Calibri"/>
          <w:sz w:val="26"/>
          <w:szCs w:val="26"/>
        </w:rPr>
        <w:t xml:space="preserve">vol. 10, nov. 2019. Disponível em: </w:t>
      </w:r>
      <w:hyperlink r:id="rId10">
        <w:r w:rsidRPr="00AA019B">
          <w:rPr>
            <w:rFonts w:ascii="Roboto" w:eastAsia="Roboto" w:hAnsi="Roboto" w:cs="Roboto"/>
            <w:highlight w:val="white"/>
            <w:u w:val="single"/>
          </w:rPr>
          <w:t>https://doi.org/10.1038/s41467-019-12552-4</w:t>
        </w:r>
      </w:hyperlink>
    </w:p>
    <w:p w:rsidR="003579D0" w:rsidRPr="00AA019B" w:rsidRDefault="003579D0" w:rsidP="003579D0">
      <w:pPr>
        <w:spacing w:line="360" w:lineRule="auto"/>
        <w:rPr>
          <w:rFonts w:ascii="Roboto" w:eastAsia="Roboto" w:hAnsi="Roboto" w:cs="Roboto"/>
          <w:highlight w:val="white"/>
        </w:rPr>
      </w:pPr>
      <w:bookmarkStart w:id="7" w:name="_heading=h.vq22vqppeqkq" w:colFirst="0" w:colLast="0"/>
      <w:bookmarkEnd w:id="7"/>
    </w:p>
    <w:p w:rsidR="00C33754" w:rsidRPr="003579D0" w:rsidRDefault="00C33754" w:rsidP="003579D0">
      <w:pPr>
        <w:spacing w:line="360" w:lineRule="auto"/>
        <w:rPr>
          <w:rFonts w:ascii="Roboto" w:eastAsia="Roboto" w:hAnsi="Roboto" w:cs="Roboto"/>
          <w:highlight w:val="white"/>
        </w:rPr>
      </w:pPr>
    </w:p>
    <w:sectPr w:rsidR="00C33754" w:rsidRPr="003579D0">
      <w:headerReference w:type="default" r:id="rId11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B4" w:rsidRDefault="007116B4">
      <w:r>
        <w:separator/>
      </w:r>
    </w:p>
  </w:endnote>
  <w:endnote w:type="continuationSeparator" w:id="0">
    <w:p w:rsidR="007116B4" w:rsidRDefault="0071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B4" w:rsidRDefault="007116B4">
      <w:r>
        <w:separator/>
      </w:r>
    </w:p>
  </w:footnote>
  <w:footnote w:type="continuationSeparator" w:id="0">
    <w:p w:rsidR="007116B4" w:rsidRDefault="0071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54" w:rsidRDefault="00711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808080"/>
        <w:sz w:val="16"/>
        <w:szCs w:val="16"/>
      </w:rPr>
    </w:pPr>
    <w:r>
      <w:rPr>
        <w:rFonts w:ascii="Century Gothic" w:eastAsia="Century Gothic" w:hAnsi="Century Gothic" w:cs="Century Gothic"/>
        <w:b/>
        <w:color w:val="808080"/>
        <w:sz w:val="16"/>
        <w:szCs w:val="16"/>
      </w:rPr>
      <w:t>Centro de Línguas da Faculdade de Filosofia, Letras e Ciências Humanas - USP</w:t>
    </w:r>
    <w:r>
      <w:rPr>
        <w:rFonts w:ascii="Century Gothic" w:eastAsia="Century Gothic" w:hAnsi="Century Gothic" w:cs="Century Gothic"/>
        <w:b/>
        <w:color w:val="808080"/>
        <w:sz w:val="16"/>
        <w:szCs w:val="16"/>
      </w:rPr>
      <w:br/>
    </w:r>
    <w:r>
      <w:rPr>
        <w:rFonts w:ascii="Century Gothic" w:eastAsia="Century Gothic" w:hAnsi="Century Gothic" w:cs="Century Gothic"/>
        <w:color w:val="808080"/>
        <w:sz w:val="16"/>
        <w:szCs w:val="16"/>
      </w:rPr>
      <w:t>Av. Prof. Lineu Prestes, nº 159 (Casa de Cultura Japonesa) – Sala 5 - Subsolo</w:t>
    </w:r>
    <w:r>
      <w:rPr>
        <w:rFonts w:ascii="Century Gothic" w:eastAsia="Century Gothic" w:hAnsi="Century Gothic" w:cs="Century Gothic"/>
        <w:color w:val="808080"/>
        <w:sz w:val="16"/>
        <w:szCs w:val="16"/>
      </w:rPr>
      <w:br/>
      <w:t xml:space="preserve">Cidade Universitária – São </w:t>
    </w:r>
    <w:proofErr w:type="spellStart"/>
    <w:r>
      <w:rPr>
        <w:rFonts w:ascii="Century Gothic" w:eastAsia="Century Gothic" w:hAnsi="Century Gothic" w:cs="Century Gothic"/>
        <w:color w:val="808080"/>
        <w:sz w:val="16"/>
        <w:szCs w:val="16"/>
      </w:rPr>
      <w:t>Paulo-SP</w:t>
    </w:r>
    <w:proofErr w:type="spellEnd"/>
    <w:r>
      <w:rPr>
        <w:rFonts w:ascii="Century Gothic" w:eastAsia="Century Gothic" w:hAnsi="Century Gothic" w:cs="Century Gothic"/>
        <w:color w:val="808080"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-127314</wp:posOffset>
          </wp:positionH>
          <wp:positionV relativeFrom="paragraph">
            <wp:posOffset>-54289</wp:posOffset>
          </wp:positionV>
          <wp:extent cx="1185862" cy="480117"/>
          <wp:effectExtent l="0" t="0" r="0" b="0"/>
          <wp:wrapNone/>
          <wp:docPr id="4" name="image1.png" descr="C:\Users\Liliana\Documents\Centro.Linguas\modelo-cil_no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iliana\Documents\Centro.Linguas\modelo-cil_nov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862" cy="48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3754" w:rsidRDefault="00C33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7A4F"/>
    <w:multiLevelType w:val="multilevel"/>
    <w:tmpl w:val="04385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4"/>
    <w:rsid w:val="003579D0"/>
    <w:rsid w:val="007116B4"/>
    <w:rsid w:val="00C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35AD6-07D3-441A-A6E5-2146ADB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00" w:after="10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772F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F10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D12F10"/>
  </w:style>
  <w:style w:type="paragraph" w:styleId="Rodap">
    <w:name w:val="footer"/>
    <w:basedOn w:val="Normal"/>
    <w:link w:val="RodapChar"/>
    <w:uiPriority w:val="99"/>
    <w:unhideWhenUsed/>
    <w:rsid w:val="00D12F10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D12F10"/>
  </w:style>
  <w:style w:type="character" w:customStyle="1" w:styleId="UnresolvedMention">
    <w:name w:val="Unresolved Mention"/>
    <w:basedOn w:val="Fontepargpadro"/>
    <w:uiPriority w:val="99"/>
    <w:semiHidden/>
    <w:unhideWhenUsed/>
    <w:rsid w:val="00802ED4"/>
    <w:rPr>
      <w:color w:val="605E5C"/>
      <w:shd w:val="clear" w:color="auto" w:fill="E1DFDD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ualreviews.org/doi/abs/10.1146/annurev-psych-122414-0334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38/s41467-019-12552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tics.2010.09.0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/dlGVVlMInMXuSl9tVJodvyqA==">AMUW2mUL7xCRvhTL0XkbVrA33mIL6CHkf5O8ZN+c8oCJIfTT0czWIQ6OXXxgxGGjHasKR2h+Kok498n7Fjv5oNwOhg1IQsSanZZFC9/aYRZ3sObjPYBh70hZ4DSRFvljtRURRyOxgBgXPrQCFOD+JSvn0BBztcBssp+RQaGedERbBHA4ZFwYJbENXzD2h3kUbK72qyOaz4pSJwTXdzt69wD7QS0nkqZa9+O0b5tYreEYzMTb0f5dCIjdnaVmGR98oJ6i1IKDnxpN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 Yurie Masuda Oda</cp:lastModifiedBy>
  <cp:revision>3</cp:revision>
  <dcterms:created xsi:type="dcterms:W3CDTF">2021-07-08T22:23:00Z</dcterms:created>
  <dcterms:modified xsi:type="dcterms:W3CDTF">2022-09-05T15:08:00Z</dcterms:modified>
</cp:coreProperties>
</file>