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Preparatório para o TOEFL (remoto)</w:t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Resultado da Análise Socioeconômica para Vagas Gratuitas (24/08)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Brenda Lais Matos Domingos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Bianca Estela Rocha Flores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Débora Cristina Marcelino dos Santos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Marcela Inácio da Silva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-959.0" w:type="dxa"/>
      <w:tblLayout w:type="fixed"/>
      <w:tblLook w:val="0000"/>
    </w:tblPr>
    <w:tblGrid>
      <w:gridCol w:w="4322"/>
      <w:gridCol w:w="6276"/>
      <w:tblGridChange w:id="0">
        <w:tblGrid>
          <w:gridCol w:w="4322"/>
          <w:gridCol w:w="6276"/>
        </w:tblGrid>
      </w:tblGridChange>
    </w:tblGrid>
    <w:tr>
      <w:tc>
        <w:tcPr/>
        <w:p w:rsidR="00000000" w:rsidDel="00000000" w:rsidP="00000000" w:rsidRDefault="00000000" w:rsidRPr="00000000" w14:paraId="00000011">
          <w:pPr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114300" distR="114300">
                <wp:extent cx="1910080" cy="978535"/>
                <wp:effectExtent b="0" l="0" r="0" t="0"/>
                <wp:docPr descr="Descrição: D:\Downloads\Desde1991-CMYK (1).png" id="2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0080" cy="9785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2">
          <w:pPr>
            <w:spacing w:line="240" w:lineRule="auto"/>
            <w:ind w:left="-851" w:firstLine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line="240" w:lineRule="auto"/>
            <w:ind w:left="-851" w:firstLine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line="240" w:lineRule="auto"/>
            <w:ind w:left="-851" w:firstLine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- USP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CEP: 05508-000</w:t>
            <w:br w:type="textWrapping"/>
            <w:t xml:space="preserve">Cidade Universitária – São Paulo-SP.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line="240" w:lineRule="auto"/>
            <w:ind w:left="-851" w:firstLine="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                                  Site- </w:t>
          </w:r>
          <w:hyperlink r:id="rId2"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rtl w:val="0"/>
              </w:rPr>
              <w:t xml:space="preserve">http://clinguas.fflch.usp.br</w:t>
            </w:r>
          </w:hyperlink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  Tel (11) 3091-2416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line="240" w:lineRule="auto"/>
            <w:ind w:left="-851" w:firstLine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                                                                      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17">
          <w:pPr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8">
          <w:pPr>
            <w:spacing w:line="240" w:lineRule="auto"/>
            <w:ind w:left="-851" w:firstLine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spacing w:line="240" w:lineRule="auto"/>
      <w:ind w:left="-851" w:firstLine="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40" w:lineRule="auto"/>
      <w:ind w:left="-851" w:firstLine="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linguas.fflch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yz+0dFz9SE77GJOvioIX2zWgg==">AMUW2mXZp8DCdZMpsU9nqhuq+tZaFkt4g/6Eexu/rtj5X6coC1KlMlaZffYcOBoqbNvpgXaLhyrv+F83uJutggMBWjzGLi8ZM1i6xlCQhHCVX4j/Rno6QYM=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