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0632.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7"/>
        <w:gridCol w:w="6945"/>
        <w:tblGridChange w:id="0">
          <w:tblGrid>
            <w:gridCol w:w="3687"/>
            <w:gridCol w:w="6945"/>
          </w:tblGrid>
        </w:tblGridChange>
      </w:tblGrid>
      <w:tr>
        <w:trPr>
          <w:cantSplit w:val="0"/>
          <w:tblHeader w:val="0"/>
        </w:trPr>
        <w:tc>
          <w:tcPr>
            <w:shd w:fill="auto" w:val="clear"/>
          </w:tcPr>
          <w:p w:rsidR="00000000" w:rsidDel="00000000" w:rsidP="00000000" w:rsidRDefault="00000000" w:rsidRPr="00000000" w14:paraId="00000002">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Título do Curso</w:t>
            </w:r>
          </w:p>
        </w:tc>
        <w:tc>
          <w:tcPr>
            <w:shd w:fill="auto" w:val="clear"/>
            <w:vAlign w:val="center"/>
          </w:tcPr>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rFonts w:ascii="Arial" w:cs="Arial" w:eastAsia="Arial" w:hAnsi="Arial"/>
                <w:rtl w:val="0"/>
              </w:rPr>
              <w:t xml:space="preserve">Preparatório para TOEFL – curso remoto de férias (jan.-fev./22)</w:t>
            </w:r>
          </w:p>
        </w:tc>
      </w:tr>
      <w:tr>
        <w:trPr>
          <w:cantSplit w:val="0"/>
          <w:tblHeader w:val="0"/>
        </w:trPr>
        <w:tc>
          <w:tcPr>
            <w:shd w:fill="auto" w:val="clear"/>
          </w:tcPr>
          <w:p w:rsidR="00000000" w:rsidDel="00000000" w:rsidP="00000000" w:rsidRDefault="00000000" w:rsidRPr="00000000" w14:paraId="00000004">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Apresentação do Curso</w:t>
            </w:r>
          </w:p>
        </w:tc>
        <w:tc>
          <w:tcPr>
            <w:shd w:fill="auto" w:val="clear"/>
            <w:vAlign w:val="center"/>
          </w:tcPr>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O curso prepara o aluno para o exame TOEFL iBT - </w:t>
            </w:r>
            <w:r w:rsidDel="00000000" w:rsidR="00000000" w:rsidRPr="00000000">
              <w:rPr>
                <w:rFonts w:ascii="Arial" w:cs="Arial" w:eastAsia="Arial" w:hAnsi="Arial"/>
                <w:i w:val="1"/>
                <w:color w:val="000000"/>
                <w:rtl w:val="0"/>
              </w:rPr>
              <w:t xml:space="preserve">Test of English as a Foreign Language, internet-based test</w:t>
            </w:r>
            <w:r w:rsidDel="00000000" w:rsidR="00000000" w:rsidRPr="00000000">
              <w:rPr>
                <w:rFonts w:ascii="Arial" w:cs="Arial" w:eastAsia="Arial" w:hAnsi="Arial"/>
                <w:color w:val="000000"/>
                <w:rtl w:val="0"/>
              </w:rPr>
              <w:t xml:space="preserve">, em suas quatro seções (</w:t>
            </w:r>
            <w:r w:rsidDel="00000000" w:rsidR="00000000" w:rsidRPr="00000000">
              <w:rPr>
                <w:rFonts w:ascii="Arial" w:cs="Arial" w:eastAsia="Arial" w:hAnsi="Arial"/>
                <w:i w:val="1"/>
                <w:color w:val="000000"/>
                <w:rtl w:val="0"/>
              </w:rPr>
              <w:t xml:space="preserve">reading, listening, writing, speaking</w:t>
            </w:r>
            <w:r w:rsidDel="00000000" w:rsidR="00000000" w:rsidRPr="00000000">
              <w:rPr>
                <w:rFonts w:ascii="Arial" w:cs="Arial" w:eastAsia="Arial" w:hAnsi="Arial"/>
                <w:color w:val="000000"/>
                <w:rtl w:val="0"/>
              </w:rPr>
              <w:t xml:space="preserve">). O exame é requisito em vários processos seletivos para bolsas de estudo internacionais.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6">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Docente Responsável</w:t>
            </w:r>
          </w:p>
        </w:tc>
        <w:tc>
          <w:tcPr>
            <w:shd w:fill="auto" w:val="clear"/>
            <w:vAlign w:val="center"/>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Luciana Carvalho Fonseca</w:t>
            </w:r>
          </w:p>
        </w:tc>
      </w:tr>
      <w:tr>
        <w:trPr>
          <w:cantSplit w:val="0"/>
          <w:tblHeader w:val="0"/>
        </w:trPr>
        <w:tc>
          <w:tcPr>
            <w:shd w:fill="auto" w:val="clear"/>
          </w:tcPr>
          <w:p w:rsidR="00000000" w:rsidDel="00000000" w:rsidP="00000000" w:rsidRDefault="00000000" w:rsidRPr="00000000" w14:paraId="00000008">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Nº USP</w:t>
            </w:r>
          </w:p>
        </w:tc>
        <w:tc>
          <w:tcPr>
            <w:shd w:fill="auto" w:val="clear"/>
            <w:vAlign w:val="center"/>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3637340</w:t>
            </w:r>
          </w:p>
        </w:tc>
      </w:tr>
      <w:tr>
        <w:trPr>
          <w:cantSplit w:val="0"/>
          <w:tblHeader w:val="0"/>
        </w:trPr>
        <w:tc>
          <w:tcPr>
            <w:shd w:fill="auto" w:val="clear"/>
          </w:tcPr>
          <w:p w:rsidR="00000000" w:rsidDel="00000000" w:rsidP="00000000" w:rsidRDefault="00000000" w:rsidRPr="00000000" w14:paraId="0000000A">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Ministrante(s)</w:t>
            </w:r>
          </w:p>
        </w:tc>
        <w:tc>
          <w:tcPr>
            <w:shd w:fill="auto" w:val="clear"/>
            <w:vAlign w:val="center"/>
          </w:tcPr>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Fonts w:ascii="Arial" w:cs="Arial" w:eastAsia="Arial" w:hAnsi="Arial"/>
                <w:rtl w:val="0"/>
              </w:rPr>
              <w:t xml:space="preserve">Priscila Mayumi Hayama</w:t>
            </w:r>
          </w:p>
        </w:tc>
      </w:tr>
      <w:tr>
        <w:trPr>
          <w:cantSplit w:val="0"/>
          <w:tblHeader w:val="0"/>
        </w:trPr>
        <w:tc>
          <w:tcPr>
            <w:shd w:fill="auto" w:val="clear"/>
          </w:tcPr>
          <w:p w:rsidR="00000000" w:rsidDel="00000000" w:rsidP="00000000" w:rsidRDefault="00000000" w:rsidRPr="00000000" w14:paraId="0000000C">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Público- alvo</w:t>
            </w:r>
          </w:p>
        </w:tc>
        <w:tc>
          <w:tcPr>
            <w:shd w:fill="auto" w:val="clear"/>
            <w:vAlign w:val="center"/>
          </w:tcPr>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rtl w:val="0"/>
              </w:rPr>
              <w:t xml:space="preserve">Público USP em geral (alunos de graduação e pós-graduação, funcionários e docentes) de todos os campi da USP.</w:t>
            </w:r>
          </w:p>
        </w:tc>
      </w:tr>
      <w:tr>
        <w:trPr>
          <w:cantSplit w:val="0"/>
          <w:tblHeader w:val="0"/>
        </w:trPr>
        <w:tc>
          <w:tcPr>
            <w:shd w:fill="auto" w:val="clear"/>
          </w:tcPr>
          <w:p w:rsidR="00000000" w:rsidDel="00000000" w:rsidP="00000000" w:rsidRDefault="00000000" w:rsidRPr="00000000" w14:paraId="0000000E">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Carga horária</w:t>
            </w:r>
          </w:p>
        </w:tc>
        <w:tc>
          <w:tcPr>
            <w:shd w:fill="auto" w:val="clear"/>
            <w:vAlign w:val="center"/>
          </w:tcPr>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36h de carga horária total, sendo 18h em encontros semanais síncronos pelo Google Meet e 18h em atividades semanais assíncronas pelo Google Classroom</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0">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Modalidade</w:t>
            </w:r>
          </w:p>
        </w:tc>
        <w:tc>
          <w:tcPr>
            <w:shd w:fill="auto" w:val="clear"/>
            <w:vAlign w:val="center"/>
          </w:tcPr>
          <w:p w:rsidR="00000000" w:rsidDel="00000000" w:rsidP="00000000" w:rsidRDefault="00000000" w:rsidRPr="00000000" w14:paraId="0000001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  ) Presencial     (    ) Semi-presencial      ( X ) A distância</w:t>
            </w:r>
          </w:p>
        </w:tc>
      </w:tr>
      <w:tr>
        <w:trPr>
          <w:cantSplit w:val="0"/>
          <w:tblHeader w:val="0"/>
        </w:trPr>
        <w:tc>
          <w:tcPr>
            <w:shd w:fill="auto" w:val="clear"/>
          </w:tcPr>
          <w:p w:rsidR="00000000" w:rsidDel="00000000" w:rsidP="00000000" w:rsidRDefault="00000000" w:rsidRPr="00000000" w14:paraId="00000012">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Período de oferecimento</w:t>
            </w:r>
          </w:p>
        </w:tc>
        <w:tc>
          <w:tcPr>
            <w:shd w:fill="auto" w:val="clear"/>
            <w:vAlign w:val="center"/>
          </w:tcPr>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rtl w:val="0"/>
              </w:rPr>
              <w:t xml:space="preserve">janeiro a fevereiro de 2022 (12 aulas)</w:t>
            </w:r>
          </w:p>
        </w:tc>
      </w:tr>
      <w:tr>
        <w:trPr>
          <w:cantSplit w:val="0"/>
          <w:tblHeader w:val="0"/>
        </w:trPr>
        <w:tc>
          <w:tcPr>
            <w:shd w:fill="auto" w:val="clear"/>
          </w:tcPr>
          <w:p w:rsidR="00000000" w:rsidDel="00000000" w:rsidP="00000000" w:rsidRDefault="00000000" w:rsidRPr="00000000" w14:paraId="00000014">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Objetivos Gerais</w:t>
            </w:r>
          </w:p>
        </w:tc>
        <w:tc>
          <w:tcPr>
            <w:shd w:fill="auto" w:val="clear"/>
            <w:vAlign w:val="center"/>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Desenvolver as habilidades e os conhecimentos exigidos no exame TOEFL-</w:t>
            </w:r>
            <w:r w:rsidDel="00000000" w:rsidR="00000000" w:rsidRPr="00000000">
              <w:rPr>
                <w:rFonts w:ascii="Arial" w:cs="Arial" w:eastAsia="Arial" w:hAnsi="Arial"/>
                <w:i w:val="1"/>
                <w:color w:val="000000"/>
                <w:rtl w:val="0"/>
              </w:rPr>
              <w:t xml:space="preserve">Test of English as a Foreign Language</w:t>
            </w:r>
            <w:r w:rsidDel="00000000" w:rsidR="00000000" w:rsidRPr="00000000">
              <w:rPr>
                <w:rFonts w:ascii="Arial" w:cs="Arial" w:eastAsia="Arial" w:hAnsi="Arial"/>
                <w:color w:val="000000"/>
                <w:rtl w:val="0"/>
              </w:rPr>
              <w:t xml:space="preserve"> (compreensão e produção oral, compreensão e produção escrita), no formato iBT (internet-based test).</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Observação: Este curso não prepara para o exame TOEFL ITP</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7">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Objetivos Específicos</w:t>
            </w:r>
          </w:p>
        </w:tc>
        <w:tc>
          <w:tcPr>
            <w:shd w:fill="auto" w:val="clear"/>
            <w:vAlign w:val="center"/>
          </w:tcPr>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Familiarizar os alunos com as características do exame TOEFL iBT; desenvolver estratégias de gestão do tempo e habilidades acadêmicas e linguísticas relevantes ao exame; praticar os diversos tipos de questão das quatro seções do exame em simulados.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9">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Justificativa</w:t>
            </w:r>
          </w:p>
        </w:tc>
        <w:tc>
          <w:tcPr>
            <w:shd w:fill="auto" w:val="clea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Considerando-se que o exame TOEFL iBT frequentemente faz parte dos requisitos para a candidatura a bolsas de estudo internacionais e considerando-se também as iniciativas de internacionalização da Universidade de São Paulo, o curso preparatório para o TOEFL pode facilitar o acesso de alunos, funcionários e docentes da universidade a vagas de estudo e pesquisa em instituições de ensino no exterior.</w:t>
            </w:r>
          </w:p>
        </w:tc>
      </w:tr>
      <w:tr>
        <w:trPr>
          <w:cantSplit w:val="0"/>
          <w:tblHeader w:val="0"/>
        </w:trPr>
        <w:tc>
          <w:tcPr>
            <w:shd w:fill="auto" w:val="clear"/>
          </w:tcPr>
          <w:p w:rsidR="00000000" w:rsidDel="00000000" w:rsidP="00000000" w:rsidRDefault="00000000" w:rsidRPr="00000000" w14:paraId="0000001B">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Conteúdo Programático</w:t>
            </w:r>
          </w:p>
        </w:tc>
        <w:tc>
          <w:tcPr>
            <w:shd w:fill="auto" w:val="clear"/>
            <w:vAlign w:val="center"/>
          </w:tcPr>
          <w:p w:rsidR="00000000" w:rsidDel="00000000" w:rsidP="00000000" w:rsidRDefault="00000000" w:rsidRPr="00000000" w14:paraId="0000001C">
            <w:pPr>
              <w:numPr>
                <w:ilvl w:val="0"/>
                <w:numId w:val="2"/>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Características do TOEFL iBT: seções do exame, tipos de questões e gestão do tempo.</w:t>
            </w:r>
          </w:p>
          <w:p w:rsidR="00000000" w:rsidDel="00000000" w:rsidP="00000000" w:rsidRDefault="00000000" w:rsidRPr="00000000" w14:paraId="0000001D">
            <w:pPr>
              <w:numPr>
                <w:ilvl w:val="0"/>
                <w:numId w:val="2"/>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Habilidades acadêmicas: anotações, paráfrase, resumo e síntese.</w:t>
            </w:r>
          </w:p>
          <w:p w:rsidR="00000000" w:rsidDel="00000000" w:rsidP="00000000" w:rsidRDefault="00000000" w:rsidRPr="00000000" w14:paraId="0000001E">
            <w:pPr>
              <w:numPr>
                <w:ilvl w:val="0"/>
                <w:numId w:val="2"/>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Leitura: inferência de vocabulário, informações e propósitos; resumo e paráfrase; localização de informações explícitas e implícitas.</w:t>
            </w:r>
          </w:p>
          <w:p w:rsidR="00000000" w:rsidDel="00000000" w:rsidP="00000000" w:rsidRDefault="00000000" w:rsidRPr="00000000" w14:paraId="0000001F">
            <w:pPr>
              <w:numPr>
                <w:ilvl w:val="0"/>
                <w:numId w:val="2"/>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Compreensão Oral: identificação de tópico principal e de detalhes; identificação do posicionamento do falante; compreensão da organização das ideias e das relações entre elas em conversas longas e palestras; previsão de tópico com base no início de conversas longas e palestras; inferências a partir do contexto.</w:t>
            </w:r>
          </w:p>
          <w:p w:rsidR="00000000" w:rsidDel="00000000" w:rsidP="00000000" w:rsidRDefault="00000000" w:rsidRPr="00000000" w14:paraId="00000020">
            <w:pPr>
              <w:numPr>
                <w:ilvl w:val="0"/>
                <w:numId w:val="2"/>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Produção oral: identificação de tópico e ideias principais; planejamento e organização da produção; aprimoramento da pronúncia; estratégias de uso do tempo.</w:t>
            </w:r>
          </w:p>
          <w:p w:rsidR="00000000" w:rsidDel="00000000" w:rsidP="00000000" w:rsidRDefault="00000000" w:rsidRPr="00000000" w14:paraId="00000021">
            <w:pPr>
              <w:numPr>
                <w:ilvl w:val="0"/>
                <w:numId w:val="2"/>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Redação: identificação de tópico e ideias principais; planejamento do texto; organização e produção de parágrafos de introdução, suporte e conclusão; revisão do texto.</w:t>
            </w:r>
          </w:p>
        </w:tc>
      </w:tr>
      <w:tr>
        <w:trPr>
          <w:cantSplit w:val="0"/>
          <w:tblHeader w:val="0"/>
        </w:trPr>
        <w:tc>
          <w:tcPr>
            <w:shd w:fill="auto" w:val="clear"/>
          </w:tcPr>
          <w:p w:rsidR="00000000" w:rsidDel="00000000" w:rsidP="00000000" w:rsidRDefault="00000000" w:rsidRPr="00000000" w14:paraId="00000022">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Metodologia</w:t>
            </w:r>
          </w:p>
        </w:tc>
        <w:tc>
          <w:tcPr>
            <w:shd w:fill="auto" w:val="cle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Curso remoto, por meio das ferramentas Google Classroom e Google Meet, com videoconferências e conteúdo para estudo individual, incluindo vídeos e exercícios para prática com base em exames TOEFL iBT anteriores, provas simuladas, estudo individual. Da carga horária total do curso (36h), 18h serão cumpridas em encontros semanais síncronos (videoconferências) pelo Google Meet, no dia e horário de oferta do curso, e 18h serão cumpridas em atividades semanais assíncronas pelo Google Classroom.</w:t>
            </w:r>
          </w:p>
        </w:tc>
      </w:tr>
      <w:tr>
        <w:trPr>
          <w:cantSplit w:val="0"/>
          <w:tblHeader w:val="0"/>
        </w:trPr>
        <w:tc>
          <w:tcPr>
            <w:shd w:fill="auto" w:val="clear"/>
          </w:tcPr>
          <w:p w:rsidR="00000000" w:rsidDel="00000000" w:rsidP="00000000" w:rsidRDefault="00000000" w:rsidRPr="00000000" w14:paraId="00000024">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Avaliação</w:t>
            </w:r>
          </w:p>
        </w:tc>
        <w:tc>
          <w:tcPr>
            <w:shd w:fill="auto" w:val="cle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Realização de exercícios e provas simuladas</w:t>
            </w:r>
          </w:p>
        </w:tc>
      </w:tr>
      <w:tr>
        <w:trPr>
          <w:cantSplit w:val="0"/>
          <w:tblHeader w:val="0"/>
        </w:trPr>
        <w:tc>
          <w:tcPr>
            <w:shd w:fill="auto" w:val="clear"/>
          </w:tcPr>
          <w:p w:rsidR="00000000" w:rsidDel="00000000" w:rsidP="00000000" w:rsidRDefault="00000000" w:rsidRPr="00000000" w14:paraId="00000026">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Critérios para aprovação </w:t>
            </w:r>
          </w:p>
        </w:tc>
        <w:tc>
          <w:tcPr>
            <w:shd w:fill="auto" w:val="clea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Realização de ao menos 75% das atividades online e nota final mínima 7,0.</w:t>
            </w:r>
          </w:p>
        </w:tc>
      </w:tr>
      <w:tr>
        <w:trPr>
          <w:cantSplit w:val="0"/>
          <w:tblHeader w:val="0"/>
        </w:trPr>
        <w:tc>
          <w:tcPr>
            <w:shd w:fill="auto" w:val="clear"/>
          </w:tcPr>
          <w:p w:rsidR="00000000" w:rsidDel="00000000" w:rsidP="00000000" w:rsidRDefault="00000000" w:rsidRPr="00000000" w14:paraId="00000028">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Frequência mínima</w:t>
            </w:r>
          </w:p>
        </w:tc>
        <w:tc>
          <w:tcPr>
            <w:shd w:fill="auto" w:val="clear"/>
            <w:vAlign w:val="center"/>
          </w:tcPr>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Fonts w:ascii="Arial" w:cs="Arial" w:eastAsia="Arial" w:hAnsi="Arial"/>
                <w:rtl w:val="0"/>
              </w:rPr>
              <w:t xml:space="preserve">75%</w:t>
            </w:r>
          </w:p>
        </w:tc>
      </w:tr>
      <w:tr>
        <w:trPr>
          <w:cantSplit w:val="0"/>
          <w:tblHeader w:val="0"/>
        </w:trPr>
        <w:tc>
          <w:tcPr>
            <w:shd w:fill="auto" w:val="clear"/>
          </w:tcPr>
          <w:p w:rsidR="00000000" w:rsidDel="00000000" w:rsidP="00000000" w:rsidRDefault="00000000" w:rsidRPr="00000000" w14:paraId="0000002A">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Oferecimento</w:t>
            </w:r>
          </w:p>
        </w:tc>
        <w:tc>
          <w:tcPr>
            <w:shd w:fill="auto" w:val="clear"/>
            <w:vAlign w:val="center"/>
          </w:tcPr>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Fonts w:ascii="Arial" w:cs="Arial" w:eastAsia="Arial" w:hAnsi="Arial"/>
                <w:rtl w:val="0"/>
              </w:rPr>
              <w:t xml:space="preserve">3ª e 5ª, 14:00-15:30, de 11/01 a 22/02/22 </w:t>
            </w:r>
          </w:p>
          <w:p w:rsidR="00000000" w:rsidDel="00000000" w:rsidP="00000000" w:rsidRDefault="00000000" w:rsidRPr="00000000" w14:paraId="0000002C">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(Doze encontros por videoconferência serão realizados nesses dias e horários, totalizando 18h. Para completar a carga horária total do curso, de 36h, haverá 18h de atividades assíncronas pelo Google Classroom.)</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D">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Número de vagas por turma</w:t>
            </w:r>
          </w:p>
        </w:tc>
        <w:tc>
          <w:tcPr>
            <w:shd w:fill="auto" w:val="clear"/>
            <w:vAlign w:val="center"/>
          </w:tcPr>
          <w:p w:rsidR="00000000" w:rsidDel="00000000" w:rsidP="00000000" w:rsidRDefault="00000000" w:rsidRPr="00000000" w14:paraId="0000002E">
            <w:pPr>
              <w:spacing w:after="0" w:line="240" w:lineRule="auto"/>
              <w:rPr>
                <w:rFonts w:ascii="Arial" w:cs="Arial" w:eastAsia="Arial" w:hAnsi="Arial"/>
              </w:rPr>
            </w:pPr>
            <w:r w:rsidDel="00000000" w:rsidR="00000000" w:rsidRPr="00000000">
              <w:rPr>
                <w:rFonts w:ascii="Arial" w:cs="Arial" w:eastAsia="Arial" w:hAnsi="Arial"/>
                <w:rtl w:val="0"/>
              </w:rPr>
              <w:t xml:space="preserve">25 (número mínimo de alunos para abertura do curso: 10)</w:t>
            </w:r>
          </w:p>
        </w:tc>
      </w:tr>
      <w:tr>
        <w:trPr>
          <w:cantSplit w:val="0"/>
          <w:tblHeader w:val="0"/>
        </w:trPr>
        <w:tc>
          <w:tcPr>
            <w:shd w:fill="auto" w:val="clear"/>
          </w:tcPr>
          <w:p w:rsidR="00000000" w:rsidDel="00000000" w:rsidP="00000000" w:rsidRDefault="00000000" w:rsidRPr="00000000" w14:paraId="0000002F">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Pré-Requisitos</w:t>
            </w:r>
          </w:p>
        </w:tc>
        <w:tc>
          <w:tcPr>
            <w:shd w:fill="auto" w:val="clear"/>
            <w:vAlign w:val="center"/>
          </w:tcPr>
          <w:p w:rsidR="00000000" w:rsidDel="00000000" w:rsidP="00000000" w:rsidRDefault="00000000" w:rsidRPr="00000000" w14:paraId="00000030">
            <w:pPr>
              <w:spacing w:after="0" w:line="240" w:lineRule="auto"/>
              <w:rPr>
                <w:rFonts w:ascii="Arial" w:cs="Arial" w:eastAsia="Arial" w:hAnsi="Arial"/>
              </w:rPr>
            </w:pPr>
            <w:r w:rsidDel="00000000" w:rsidR="00000000" w:rsidRPr="00000000">
              <w:rPr>
                <w:rFonts w:ascii="Arial" w:cs="Arial" w:eastAsia="Arial" w:hAnsi="Arial"/>
                <w:rtl w:val="0"/>
              </w:rPr>
              <w:t xml:space="preserve">PRÉ-REQUISITOS LINGUÍSTICOS:</w:t>
            </w:r>
          </w:p>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Fonts w:ascii="Arial" w:cs="Arial" w:eastAsia="Arial" w:hAnsi="Arial"/>
                <w:rtl w:val="0"/>
              </w:rPr>
              <w:t xml:space="preserve">Nível intermediário a avançado em inglês. </w:t>
            </w:r>
          </w:p>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Fonts w:ascii="Arial" w:cs="Arial" w:eastAsia="Arial" w:hAnsi="Arial"/>
                <w:rtl w:val="0"/>
              </w:rPr>
              <w:t xml:space="preserve">O curso será ministrado em língua inglesa. Os participantes deverão ter, aproximadamente, nível B2 (intermediário superior) de proficiência em língua inglesa, de acordo com o Quadro Europeu Comum de Referência para Línguas-CEFR, que corresponde às seguintes características:</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Level B2 corresponds to independent users of the language, i.e. those who have the necessary fluency to communicate without effort with native speakers.</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Can interact with a degree of fluency and spontaneity that makes regular interaction with native speakers quite possible without strain for either party.</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Can produce clear, detailed text on a wide range of subjects and explain a viewpoint on a topical issue giving the advantages and disadvantages of various options.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(Fonte: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https://www.britishcouncil.es/en/english/levels/b2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Fonts w:ascii="Arial" w:cs="Arial" w:eastAsia="Arial" w:hAnsi="Arial"/>
                <w:rtl w:val="0"/>
              </w:rPr>
              <w:t xml:space="preserve">PRÉ-REQUISITOS TÉCNICOS:</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Acesso à internet suficiente para participar de chamadas de vídeo;</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Computador com câmera e microfone;</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USP ou Gmail para acesso ao Google Classroom e Google Meet.</w:t>
            </w:r>
          </w:p>
          <w:p w:rsidR="00000000" w:rsidDel="00000000" w:rsidP="00000000" w:rsidRDefault="00000000" w:rsidRPr="00000000" w14:paraId="0000003C">
            <w:pPr>
              <w:spacing w:after="0" w:line="240" w:lineRule="auto"/>
              <w:rPr>
                <w:rFonts w:ascii="Arial" w:cs="Arial" w:eastAsia="Arial" w:hAnsi="Arial"/>
              </w:rPr>
            </w:pPr>
            <w:r w:rsidDel="00000000" w:rsidR="00000000" w:rsidRPr="00000000">
              <w:rPr>
                <w:rFonts w:ascii="Arial" w:cs="Arial" w:eastAsia="Arial" w:hAnsi="Arial"/>
                <w:rtl w:val="0"/>
              </w:rPr>
              <w:t xml:space="preserve">MATERIAL DIDÁTICO:</w:t>
            </w:r>
          </w:p>
          <w:p w:rsidR="00000000" w:rsidDel="00000000" w:rsidP="00000000" w:rsidRDefault="00000000" w:rsidRPr="00000000" w14:paraId="0000003D">
            <w:pPr>
              <w:spacing w:after="0" w:line="240" w:lineRule="auto"/>
              <w:rPr>
                <w:rFonts w:ascii="Arial" w:cs="Arial" w:eastAsia="Arial" w:hAnsi="Arial"/>
              </w:rPr>
            </w:pPr>
            <w:r w:rsidDel="00000000" w:rsidR="00000000" w:rsidRPr="00000000">
              <w:rPr>
                <w:rFonts w:ascii="Arial" w:cs="Arial" w:eastAsia="Arial" w:hAnsi="Arial"/>
                <w:rtl w:val="0"/>
              </w:rPr>
              <w:t xml:space="preserve">O curso requer a aquisição de um livro didático (</w:t>
            </w:r>
            <w:r w:rsidDel="00000000" w:rsidR="00000000" w:rsidRPr="00000000">
              <w:rPr>
                <w:rFonts w:ascii="Arial" w:cs="Arial" w:eastAsia="Arial" w:hAnsi="Arial"/>
                <w:color w:val="000000"/>
                <w:rtl w:val="0"/>
              </w:rPr>
              <w:t xml:space="preserve">SHARPE, Pamela J. </w:t>
            </w:r>
            <w:r w:rsidDel="00000000" w:rsidR="00000000" w:rsidRPr="00000000">
              <w:rPr>
                <w:rFonts w:ascii="Arial" w:cs="Arial" w:eastAsia="Arial" w:hAnsi="Arial"/>
                <w:i w:val="1"/>
                <w:color w:val="000000"/>
                <w:rtl w:val="0"/>
              </w:rPr>
              <w:t xml:space="preserve">TOEFL iBT</w:t>
            </w:r>
            <w:r w:rsidDel="00000000" w:rsidR="00000000" w:rsidRPr="00000000">
              <w:rPr>
                <w:rFonts w:ascii="Arial" w:cs="Arial" w:eastAsia="Arial" w:hAnsi="Arial"/>
                <w:color w:val="000000"/>
                <w:rtl w:val="0"/>
              </w:rPr>
              <w:t xml:space="preserve">. 17 ed, Nova Iorque, Barron’s, 2020)</w:t>
            </w:r>
            <w:r w:rsidDel="00000000" w:rsidR="00000000" w:rsidRPr="00000000">
              <w:rPr>
                <w:rFonts w:ascii="Arial" w:cs="Arial" w:eastAsia="Arial" w:hAnsi="Arial"/>
                <w:rtl w:val="0"/>
              </w:rPr>
              <w:t xml:space="preserve">, não incluso no valor da taxa do curso.</w:t>
            </w:r>
          </w:p>
        </w:tc>
      </w:tr>
      <w:tr>
        <w:trPr>
          <w:cantSplit w:val="0"/>
          <w:tblHeader w:val="0"/>
        </w:trPr>
        <w:tc>
          <w:tcPr>
            <w:shd w:fill="auto" w:val="clear"/>
          </w:tcPr>
          <w:p w:rsidR="00000000" w:rsidDel="00000000" w:rsidP="00000000" w:rsidRDefault="00000000" w:rsidRPr="00000000" w14:paraId="0000003E">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Teste de Nível</w:t>
            </w:r>
          </w:p>
        </w:tc>
        <w:tc>
          <w:tcPr>
            <w:shd w:fill="auto" w:val="clear"/>
            <w:vAlign w:val="center"/>
          </w:tcPr>
          <w:p w:rsidR="00000000" w:rsidDel="00000000" w:rsidP="00000000" w:rsidRDefault="00000000" w:rsidRPr="00000000" w14:paraId="0000003F">
            <w:pPr>
              <w:spacing w:after="0" w:line="240" w:lineRule="auto"/>
              <w:rPr>
                <w:rFonts w:ascii="Arial" w:cs="Arial" w:eastAsia="Arial" w:hAnsi="Arial"/>
              </w:rPr>
            </w:pPr>
            <w:r w:rsidDel="00000000" w:rsidR="00000000" w:rsidRPr="00000000">
              <w:rPr>
                <w:rFonts w:ascii="Arial" w:cs="Arial" w:eastAsia="Arial" w:hAnsi="Arial"/>
                <w:rtl w:val="0"/>
              </w:rPr>
              <w:t xml:space="preserve">Não haverá teste de nível. Ao se matricular no curso, o aluno entende que as aulas serão ministradas em língua inglesa e que ele deve atender aos requisitos linguísticos e técnicos descritos neste programa.</w:t>
            </w:r>
          </w:p>
          <w:p w:rsidR="00000000" w:rsidDel="00000000" w:rsidP="00000000" w:rsidRDefault="00000000" w:rsidRPr="00000000" w14:paraId="00000040">
            <w:pPr>
              <w:spacing w:after="0" w:line="240" w:lineRule="auto"/>
              <w:rPr>
                <w:rFonts w:ascii="Arial" w:cs="Arial" w:eastAsia="Arial" w:hAnsi="Arial"/>
              </w:rPr>
            </w:pPr>
            <w:r w:rsidDel="00000000" w:rsidR="00000000" w:rsidRPr="00000000">
              <w:rPr>
                <w:rFonts w:ascii="Arial" w:cs="Arial" w:eastAsia="Arial" w:hAnsi="Arial"/>
                <w:rtl w:val="0"/>
              </w:rPr>
              <w:t xml:space="preserve">Antes do início das matrículas, será feita uma videoconferência entre a professora do curso e os interessados, em inglês, para apresentação do curso e esclarecimento de dúvidas. A participação nessa videoconferência é opcional, mas recomendada.</w:t>
            </w:r>
          </w:p>
          <w:p w:rsidR="00000000" w:rsidDel="00000000" w:rsidP="00000000" w:rsidRDefault="00000000" w:rsidRPr="00000000" w14:paraId="0000004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highlight w:val="yellow"/>
              </w:rPr>
            </w:pPr>
            <w:r w:rsidDel="00000000" w:rsidR="00000000" w:rsidRPr="00000000">
              <w:rPr>
                <w:rFonts w:ascii="Arial" w:cs="Arial" w:eastAsia="Arial" w:hAnsi="Arial"/>
                <w:rtl w:val="0"/>
              </w:rPr>
              <w:t xml:space="preserve">Data para videoconferência: 07/12/21, das 14:00 às 15:00, no link </w:t>
            </w:r>
            <w:hyperlink r:id="rId8">
              <w:r w:rsidDel="00000000" w:rsidR="00000000" w:rsidRPr="00000000">
                <w:rPr>
                  <w:rFonts w:ascii="Arial" w:cs="Arial" w:eastAsia="Arial" w:hAnsi="Arial"/>
                  <w:color w:val="1155cc"/>
                  <w:u w:val="single"/>
                  <w:rtl w:val="0"/>
                </w:rPr>
                <w:t xml:space="preserve">meet.google.com/qyo-fdnn-eot</w:t>
              </w:r>
            </w:hyperlink>
            <w:r w:rsidDel="00000000" w:rsidR="00000000" w:rsidRPr="00000000">
              <w:rPr>
                <w:rFonts w:ascii="Arial" w:cs="Arial" w:eastAsia="Arial" w:hAnsi="Arial"/>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3">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Critérios para atribuição de vagas</w:t>
            </w:r>
          </w:p>
        </w:tc>
        <w:tc>
          <w:tcPr>
            <w:shd w:fill="auto" w:val="clear"/>
            <w:vAlign w:val="center"/>
          </w:tcPr>
          <w:p w:rsidR="00000000" w:rsidDel="00000000" w:rsidP="00000000" w:rsidRDefault="00000000" w:rsidRPr="00000000" w14:paraId="00000044">
            <w:pP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5">
            <w:pPr>
              <w:tabs>
                <w:tab w:val="left" w:pos="345"/>
              </w:tabs>
              <w:spacing w:befor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Bibliografia</w:t>
            </w:r>
          </w:p>
        </w:tc>
        <w:tc>
          <w:tcPr>
            <w:shd w:fill="auto" w:val="cle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MATTHIESEN, Steven J.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Essential words for the TOEFL: test of English as a foreign language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w:t>
            </w:r>
            <w:r w:rsidDel="00000000" w:rsidR="00000000" w:rsidRPr="00000000">
              <w:rPr>
                <w:rFonts w:ascii="Arial" w:cs="Arial" w:eastAsia="Arial" w:hAnsi="Arial"/>
                <w:b w:val="0"/>
                <w:i w:val="0"/>
                <w:smallCaps w:val="0"/>
                <w:strike w:val="0"/>
                <w:color w:val="000000"/>
                <w:sz w:val="13"/>
                <w:szCs w:val="1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Nova Iorque, Barron’s, 2011</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PHILLIPS, Deborah.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Preparation course for the TOEFL 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2a ed., Pearson-Longman, Nova Iorque, 2007</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ETS-TOEFL. Disponível em: www.ets.org/toefl</w:t>
            </w: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SHARPE, Pamela J. </w:t>
            </w:r>
            <w:r w:rsidDel="00000000" w:rsidR="00000000" w:rsidRPr="00000000">
              <w:rPr>
                <w:rFonts w:ascii="Arial" w:cs="Arial" w:eastAsia="Arial" w:hAnsi="Arial"/>
                <w:i w:val="1"/>
                <w:color w:val="000000"/>
                <w:rtl w:val="0"/>
              </w:rPr>
              <w:t xml:space="preserve">TOEFL iBT</w:t>
            </w:r>
            <w:r w:rsidDel="00000000" w:rsidR="00000000" w:rsidRPr="00000000">
              <w:rPr>
                <w:rFonts w:ascii="Arial" w:cs="Arial" w:eastAsia="Arial" w:hAnsi="Arial"/>
                <w:color w:val="000000"/>
                <w:rtl w:val="0"/>
              </w:rPr>
              <w:t xml:space="preserve">. 17 ed, Nova Iorque, Barron’s, 2019</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A">
            <w:pPr>
              <w:tabs>
                <w:tab w:val="left" w:pos="345"/>
              </w:tabs>
              <w:spacing w:before="240" w:lineRule="auto"/>
              <w:rPr>
                <w:rFonts w:ascii="Arial Black" w:cs="Arial Black" w:eastAsia="Arial Black" w:hAnsi="Arial Black"/>
              </w:rPr>
            </w:pPr>
            <w:bookmarkStart w:colFirst="0" w:colLast="0" w:name="_heading=h.gjdgxs" w:id="0"/>
            <w:bookmarkEnd w:id="0"/>
            <w:r w:rsidDel="00000000" w:rsidR="00000000" w:rsidRPr="00000000">
              <w:rPr>
                <w:rFonts w:ascii="Arial Black" w:cs="Arial Black" w:eastAsia="Arial Black" w:hAnsi="Arial Black"/>
                <w:rtl w:val="0"/>
              </w:rPr>
              <w:t xml:space="preserve">Informação Relevante</w:t>
            </w:r>
          </w:p>
        </w:tc>
        <w:tc>
          <w:tcPr>
            <w:shd w:fill="auto" w:val="clear"/>
            <w:vAlign w:val="center"/>
          </w:tcPr>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Fonts w:ascii="Arial" w:cs="Arial" w:eastAsia="Arial" w:hAnsi="Arial"/>
                <w:rtl w:val="0"/>
              </w:rPr>
              <w:t xml:space="preserve">INFORMAÇÃO PARA REGISTRO NO APOLO:</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Justificativa da carga horária: Carga horária somente em formato remoto/online devido à pandemia de COVID-19.</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Descrição segundo a tecnologia: O curso será realizado em formato remoto, com conteúdo síncrono e assíncrono, por meio principalmente das plataformas Google Meet e Google Classroom. Os encontros síncronos no Google Meet terão duração máxima de 90 minutos. Contatos individuais também serão feitos por e-mail para correção de tarefas, feedback etc.</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Sistemática de comunicação: Informes e conteúdos gerais para todos os alunos serão postados no Google Classroom e/ou enviados por e-mail. Contatos individuais serão feitos por e-mail. Em caso de necessidade, canais como Whatsapp também poderão ser utilizados em casos de maior urgência ou falha em outros canais de comunicação. Os alunos devem ter conta de e-mail USP ou Gmail para acesso às plataformas Google Meet e Google Classroom, e também computador com câmera, microfone e boa conexão à internet.</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Recursos de instrução: Aulas síncronas no Google Meet, conteúdo assíncrono com vídeos, textos, áudios e exercícios no Google Classroom, atividades para estudo individual ou em pequenos grupos. O acompanhamento do rendimento dos alunos será feito por meio da presença às aulas síncronas, realização de atividades assíncronas (exercícios, simulados, apresentações etc.) e contato individual por e-mail.</w:t>
            </w:r>
          </w:p>
        </w:tc>
      </w:tr>
    </w:tbl>
    <w:p w:rsidR="00000000" w:rsidDel="00000000" w:rsidP="00000000" w:rsidRDefault="00000000" w:rsidRPr="00000000" w14:paraId="00000050">
      <w:pPr>
        <w:rPr/>
      </w:pPr>
      <w:r w:rsidDel="00000000" w:rsidR="00000000" w:rsidRPr="00000000">
        <w:rPr>
          <w:rtl w:val="0"/>
        </w:rPr>
      </w:r>
    </w:p>
    <w:sectPr>
      <w:headerReference r:id="rId9" w:type="default"/>
      <w:pgSz w:h="16838" w:w="11906" w:orient="portrait"/>
      <w:pgMar w:bottom="1417" w:top="284"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Arial Black">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tbl>
    <w:tblPr>
      <w:tblStyle w:val="Table2"/>
      <w:tblW w:w="10598.000000000002" w:type="dxa"/>
      <w:jc w:val="left"/>
      <w:tblInd w:w="-851.0" w:type="dxa"/>
      <w:tblLayout w:type="fixed"/>
      <w:tblLook w:val="0400"/>
    </w:tblPr>
    <w:tblGrid>
      <w:gridCol w:w="4236"/>
      <w:gridCol w:w="6362"/>
      <w:tblGridChange w:id="0">
        <w:tblGrid>
          <w:gridCol w:w="4236"/>
          <w:gridCol w:w="6362"/>
        </w:tblGrid>
      </w:tblGridChange>
    </w:tblGrid>
    <w:tr>
      <w:trPr>
        <w:cantSplit w:val="0"/>
        <w:trHeight w:val="160" w:hRule="atLeast"/>
        <w:tblHeader w:val="0"/>
      </w:trPr>
      <w:tc>
        <w:tcPr>
          <w:shd w:fill="auto" w:val="clear"/>
        </w:tcPr>
        <w:p w:rsidR="00000000" w:rsidDel="00000000" w:rsidP="00000000" w:rsidRDefault="00000000" w:rsidRPr="00000000" w14:paraId="00000052">
          <w:pPr>
            <w:tabs>
              <w:tab w:val="left" w:pos="1545"/>
            </w:tabs>
            <w:spacing w:after="0" w:line="240" w:lineRule="auto"/>
            <w:rPr>
              <w:rFonts w:ascii="Century Gothic" w:cs="Century Gothic" w:eastAsia="Century Gothic" w:hAnsi="Century Gothic"/>
              <w:b w:val="1"/>
              <w:color w:val="002060"/>
            </w:rPr>
          </w:pPr>
          <w:r w:rsidDel="00000000" w:rsidR="00000000" w:rsidRPr="00000000">
            <w:rPr>
              <w:rtl w:val="0"/>
            </w:rPr>
          </w:r>
        </w:p>
      </w:tc>
      <w:tc>
        <w:tcPr>
          <w:shd w:fill="auto" w:val="clear"/>
        </w:tcPr>
        <w:p w:rsidR="00000000" w:rsidDel="00000000" w:rsidP="00000000" w:rsidRDefault="00000000" w:rsidRPr="00000000" w14:paraId="00000053">
          <w:pPr>
            <w:spacing w:after="0" w:line="240" w:lineRule="auto"/>
            <w:jc w:val="right"/>
            <w:rPr>
              <w:rFonts w:ascii="Century Gothic" w:cs="Century Gothic" w:eastAsia="Century Gothic" w:hAnsi="Century Gothic"/>
              <w:b w:val="1"/>
              <w:color w:val="002060"/>
            </w:rPr>
          </w:pPr>
          <w:r w:rsidDel="00000000" w:rsidR="00000000" w:rsidRPr="00000000">
            <w:rPr>
              <w:rtl w:val="0"/>
            </w:rPr>
          </w:r>
        </w:p>
      </w:tc>
    </w:tr>
    <w:tr>
      <w:trPr>
        <w:cantSplit w:val="0"/>
        <w:trHeight w:val="1400" w:hRule="atLeast"/>
        <w:tblHeader w:val="0"/>
      </w:trPr>
      <w:tc>
        <w:tcPr>
          <w:shd w:fill="auto" w:val="clear"/>
        </w:tcPr>
        <w:p w:rsidR="00000000" w:rsidDel="00000000" w:rsidP="00000000" w:rsidRDefault="00000000" w:rsidRPr="00000000" w14:paraId="00000054">
          <w:pPr>
            <w:spacing w:after="0" w:line="240" w:lineRule="auto"/>
            <w:rPr>
              <w:rFonts w:ascii="Century Gothic" w:cs="Century Gothic" w:eastAsia="Century Gothic" w:hAnsi="Century Gothic"/>
              <w:b w:val="1"/>
              <w:color w:val="002060"/>
            </w:rPr>
          </w:pPr>
          <w:r w:rsidDel="00000000" w:rsidR="00000000" w:rsidRPr="00000000">
            <w:rPr>
              <w:rFonts w:ascii="Arial" w:cs="Arial" w:eastAsia="Arial" w:hAnsi="Arial"/>
              <w:color w:val="535353"/>
              <w:sz w:val="21"/>
              <w:szCs w:val="21"/>
            </w:rPr>
            <w:drawing>
              <wp:inline distB="0" distT="0" distL="0" distR="0">
                <wp:extent cx="1476375" cy="838200"/>
                <wp:effectExtent b="0" l="0" r="0" t="0"/>
                <wp:docPr descr="Descrição: D:\Downloads\Desde1991-CMYK (1).png" id="3" name="image1.png"/>
                <a:graphic>
                  <a:graphicData uri="http://schemas.openxmlformats.org/drawingml/2006/picture">
                    <pic:pic>
                      <pic:nvPicPr>
                        <pic:cNvPr descr="Descrição: D:\Downloads\Desde1991-CMYK (1).png" id="0" name="image1.png"/>
                        <pic:cNvPicPr preferRelativeResize="0"/>
                      </pic:nvPicPr>
                      <pic:blipFill>
                        <a:blip r:embed="rId1"/>
                        <a:srcRect b="0" l="0" r="0" t="0"/>
                        <a:stretch>
                          <a:fillRect/>
                        </a:stretch>
                      </pic:blipFill>
                      <pic:spPr>
                        <a:xfrm>
                          <a:off x="0" y="0"/>
                          <a:ext cx="1476375" cy="8382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55">
          <w:pPr>
            <w:spacing w:after="0" w:line="240" w:lineRule="auto"/>
            <w:ind w:left="-851" w:firstLine="851"/>
            <w:jc w:val="right"/>
            <w:rPr>
              <w:rFonts w:ascii="Century Gothic" w:cs="Century Gothic" w:eastAsia="Century Gothic" w:hAnsi="Century Gothic"/>
              <w:b w:val="1"/>
              <w:color w:val="002060"/>
            </w:rPr>
          </w:pPr>
          <w:r w:rsidDel="00000000" w:rsidR="00000000" w:rsidRPr="00000000">
            <w:rPr>
              <w:rtl w:val="0"/>
            </w:rPr>
          </w:r>
        </w:p>
        <w:p w:rsidR="00000000" w:rsidDel="00000000" w:rsidP="00000000" w:rsidRDefault="00000000" w:rsidRPr="00000000" w14:paraId="00000056">
          <w:pPr>
            <w:spacing w:after="0" w:line="240" w:lineRule="auto"/>
            <w:ind w:left="-851" w:firstLine="851"/>
            <w:jc w:val="right"/>
            <w:rPr>
              <w:rFonts w:ascii="Century Gothic" w:cs="Century Gothic" w:eastAsia="Century Gothic" w:hAnsi="Century Gothic"/>
              <w:b w:val="1"/>
              <w:color w:val="002060"/>
            </w:rPr>
          </w:pPr>
          <w:r w:rsidDel="00000000" w:rsidR="00000000" w:rsidRPr="00000000">
            <w:rPr>
              <w:rFonts w:ascii="Century Gothic" w:cs="Century Gothic" w:eastAsia="Century Gothic" w:hAnsi="Century Gothic"/>
              <w:b w:val="1"/>
              <w:color w:val="002060"/>
              <w:rtl w:val="0"/>
            </w:rPr>
            <w:t xml:space="preserve">Universidade de São Paulo</w:t>
          </w:r>
        </w:p>
        <w:p w:rsidR="00000000" w:rsidDel="00000000" w:rsidP="00000000" w:rsidRDefault="00000000" w:rsidRPr="00000000" w14:paraId="00000057">
          <w:pPr>
            <w:spacing w:after="0" w:line="240" w:lineRule="auto"/>
            <w:ind w:left="-851" w:firstLine="851"/>
            <w:jc w:val="right"/>
            <w:rPr>
              <w:rFonts w:ascii="Century Gothic" w:cs="Century Gothic" w:eastAsia="Century Gothic" w:hAnsi="Century Gothic"/>
              <w:color w:val="002060"/>
              <w:sz w:val="18"/>
              <w:szCs w:val="18"/>
            </w:rPr>
          </w:pPr>
          <w:r w:rsidDel="00000000" w:rsidR="00000000" w:rsidRPr="00000000">
            <w:rPr>
              <w:rFonts w:ascii="Century Gothic" w:cs="Century Gothic" w:eastAsia="Century Gothic" w:hAnsi="Century Gothic"/>
              <w:b w:val="1"/>
              <w:color w:val="002060"/>
              <w:rtl w:val="0"/>
            </w:rPr>
            <w:t xml:space="preserve">Faculdade de Filosofia, Letras e Ciências Humanas </w:t>
          </w:r>
          <w:r w:rsidDel="00000000" w:rsidR="00000000" w:rsidRPr="00000000">
            <w:rPr>
              <w:rFonts w:ascii="Century Gothic" w:cs="Century Gothic" w:eastAsia="Century Gothic" w:hAnsi="Century Gothic"/>
              <w:b w:val="1"/>
              <w:color w:val="002060"/>
              <w:sz w:val="16"/>
              <w:szCs w:val="16"/>
              <w:rtl w:val="0"/>
            </w:rPr>
            <w:br w:type="textWrapping"/>
          </w:r>
          <w:r w:rsidDel="00000000" w:rsidR="00000000" w:rsidRPr="00000000">
            <w:rPr>
              <w:rFonts w:ascii="Century Gothic" w:cs="Century Gothic" w:eastAsia="Century Gothic" w:hAnsi="Century Gothic"/>
              <w:color w:val="002060"/>
              <w:sz w:val="18"/>
              <w:szCs w:val="18"/>
              <w:rtl w:val="0"/>
            </w:rPr>
            <w:t xml:space="preserve">Av. Prof. Lineu Prestes nº 159 - CCJ - Sala 05 - CEP: 05508-000</w:t>
            <w:br w:type="textWrapping"/>
            <w:t xml:space="preserve">Cidade Universitária – São Paulo-SP</w:t>
          </w:r>
        </w:p>
        <w:p w:rsidR="00000000" w:rsidDel="00000000" w:rsidP="00000000" w:rsidRDefault="00000000" w:rsidRPr="00000000" w14:paraId="00000058">
          <w:pPr>
            <w:spacing w:after="0" w:line="240" w:lineRule="auto"/>
            <w:ind w:left="-851" w:firstLine="851"/>
            <w:jc w:val="right"/>
            <w:rPr>
              <w:rFonts w:ascii="Century Gothic" w:cs="Century Gothic" w:eastAsia="Century Gothic" w:hAnsi="Century Gothic"/>
              <w:color w:val="002060"/>
              <w:sz w:val="18"/>
              <w:szCs w:val="18"/>
            </w:rPr>
          </w:pPr>
          <w:r w:rsidDel="00000000" w:rsidR="00000000" w:rsidRPr="00000000">
            <w:rPr>
              <w:rFonts w:ascii="Century Gothic" w:cs="Century Gothic" w:eastAsia="Century Gothic" w:hAnsi="Century Gothic"/>
              <w:color w:val="002060"/>
              <w:sz w:val="18"/>
              <w:szCs w:val="18"/>
              <w:rtl w:val="0"/>
            </w:rPr>
            <w:t xml:space="preserve">Tel: 3091.2417  –  site: www.clinguas.fflch.usp.br </w:t>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E2B53"/>
    <w:rPr>
      <w:rFonts w:eastAsia="Times New Roman"/>
      <w:lang w:eastAsia="pt-BR"/>
    </w:rPr>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Textodebalo">
    <w:name w:val="Balloon Text"/>
    <w:basedOn w:val="Normal"/>
    <w:link w:val="TextodebaloChar"/>
    <w:uiPriority w:val="99"/>
    <w:semiHidden w:val="1"/>
    <w:unhideWhenUsed w:val="1"/>
    <w:rsid w:val="00FE2B53"/>
    <w:pPr>
      <w:spacing w:after="0" w:line="240" w:lineRule="auto"/>
    </w:pPr>
    <w:rPr>
      <w:rFonts w:ascii="Tahoma" w:cs="Tahoma" w:hAnsi="Tahoma"/>
      <w:sz w:val="16"/>
      <w:szCs w:val="16"/>
    </w:rPr>
  </w:style>
  <w:style w:type="character" w:styleId="TextodebaloChar" w:customStyle="1">
    <w:name w:val="Texto de balão Char"/>
    <w:link w:val="Textodebalo"/>
    <w:uiPriority w:val="99"/>
    <w:semiHidden w:val="1"/>
    <w:rsid w:val="00FE2B53"/>
    <w:rPr>
      <w:rFonts w:ascii="Tahoma" w:cs="Tahoma" w:hAnsi="Tahoma"/>
      <w:sz w:val="16"/>
      <w:szCs w:val="16"/>
    </w:rPr>
  </w:style>
  <w:style w:type="table" w:styleId="Tabelacomgrade">
    <w:name w:val="Table Grid"/>
    <w:basedOn w:val="Tabelanormal"/>
    <w:uiPriority w:val="59"/>
    <w:rsid w:val="00FE2B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rpodetexto">
    <w:name w:val="Body Text"/>
    <w:basedOn w:val="Normal"/>
    <w:link w:val="CorpodetextoChar"/>
    <w:semiHidden w:val="1"/>
    <w:rsid w:val="00BF1AB4"/>
    <w:pPr>
      <w:spacing w:after="0" w:line="240" w:lineRule="auto"/>
    </w:pPr>
    <w:rPr>
      <w:rFonts w:ascii="Times New Roman" w:hAnsi="Times New Roman"/>
      <w:color w:val="000000"/>
      <w:sz w:val="24"/>
      <w:szCs w:val="24"/>
    </w:rPr>
  </w:style>
  <w:style w:type="character" w:styleId="CorpodetextoChar" w:customStyle="1">
    <w:name w:val="Corpo de texto Char"/>
    <w:link w:val="Corpodetexto"/>
    <w:semiHidden w:val="1"/>
    <w:rsid w:val="00BF1AB4"/>
    <w:rPr>
      <w:rFonts w:ascii="Times New Roman" w:eastAsia="Times New Roman" w:hAnsi="Times New Roman"/>
      <w:color w:val="000000"/>
      <w:sz w:val="24"/>
      <w:szCs w:val="24"/>
    </w:rPr>
  </w:style>
  <w:style w:type="paragraph" w:styleId="Corpodetexto2">
    <w:name w:val="Body Text 2"/>
    <w:basedOn w:val="Normal"/>
    <w:link w:val="Corpodetexto2Char"/>
    <w:uiPriority w:val="99"/>
    <w:semiHidden w:val="1"/>
    <w:unhideWhenUsed w:val="1"/>
    <w:rsid w:val="00BF1AB4"/>
    <w:pPr>
      <w:spacing w:after="120" w:line="480" w:lineRule="auto"/>
    </w:pPr>
  </w:style>
  <w:style w:type="character" w:styleId="Corpodetexto2Char" w:customStyle="1">
    <w:name w:val="Corpo de texto 2 Char"/>
    <w:link w:val="Corpodetexto2"/>
    <w:uiPriority w:val="99"/>
    <w:semiHidden w:val="1"/>
    <w:rsid w:val="00BF1AB4"/>
    <w:rPr>
      <w:rFonts w:eastAsia="Times New Roman"/>
      <w:sz w:val="22"/>
      <w:szCs w:val="22"/>
    </w:rPr>
  </w:style>
  <w:style w:type="character" w:styleId="Forte">
    <w:name w:val="Strong"/>
    <w:qFormat w:val="1"/>
    <w:rsid w:val="00BF1AB4"/>
    <w:rPr>
      <w:b w:val="1"/>
      <w:bCs w:val="1"/>
    </w:rPr>
  </w:style>
  <w:style w:type="paragraph" w:styleId="Cabealho">
    <w:name w:val="header"/>
    <w:basedOn w:val="Normal"/>
    <w:link w:val="CabealhoChar"/>
    <w:uiPriority w:val="99"/>
    <w:unhideWhenUsed w:val="1"/>
    <w:rsid w:val="005F1012"/>
    <w:pPr>
      <w:tabs>
        <w:tab w:val="center" w:pos="4252"/>
        <w:tab w:val="right" w:pos="8504"/>
      </w:tabs>
    </w:pPr>
  </w:style>
  <w:style w:type="character" w:styleId="CabealhoChar" w:customStyle="1">
    <w:name w:val="Cabeçalho Char"/>
    <w:link w:val="Cabealho"/>
    <w:uiPriority w:val="99"/>
    <w:rsid w:val="005F1012"/>
    <w:rPr>
      <w:rFonts w:eastAsia="Times New Roman"/>
      <w:sz w:val="22"/>
      <w:szCs w:val="22"/>
    </w:rPr>
  </w:style>
  <w:style w:type="paragraph" w:styleId="Rodap">
    <w:name w:val="footer"/>
    <w:basedOn w:val="Normal"/>
    <w:link w:val="RodapChar"/>
    <w:uiPriority w:val="99"/>
    <w:unhideWhenUsed w:val="1"/>
    <w:rsid w:val="005F1012"/>
    <w:pPr>
      <w:tabs>
        <w:tab w:val="center" w:pos="4252"/>
        <w:tab w:val="right" w:pos="8504"/>
      </w:tabs>
    </w:pPr>
  </w:style>
  <w:style w:type="character" w:styleId="RodapChar" w:customStyle="1">
    <w:name w:val="Rodapé Char"/>
    <w:link w:val="Rodap"/>
    <w:uiPriority w:val="99"/>
    <w:rsid w:val="005F1012"/>
    <w:rPr>
      <w:rFonts w:eastAsia="Times New Roman"/>
      <w:sz w:val="22"/>
      <w:szCs w:val="22"/>
    </w:rPr>
  </w:style>
  <w:style w:type="paragraph" w:styleId="NormalWeb">
    <w:name w:val="Normal (Web)"/>
    <w:basedOn w:val="Normal"/>
    <w:uiPriority w:val="99"/>
    <w:unhideWhenUsed w:val="1"/>
    <w:rsid w:val="00D6397C"/>
    <w:pPr>
      <w:spacing w:after="100" w:afterAutospacing="1" w:before="100" w:beforeAutospacing="1" w:line="240" w:lineRule="auto"/>
    </w:pPr>
    <w:rPr>
      <w:rFonts w:ascii="Times New Roman" w:hAnsi="Times New Roman"/>
      <w:sz w:val="24"/>
      <w:szCs w:val="24"/>
    </w:rPr>
  </w:style>
  <w:style w:type="character" w:styleId="apple-converted-space" w:customStyle="1">
    <w:name w:val="apple-converted-space"/>
    <w:rsid w:val="00D6397C"/>
  </w:style>
  <w:style w:type="paragraph" w:styleId="PargrafodaLista">
    <w:name w:val="List Paragraph"/>
    <w:basedOn w:val="Normal"/>
    <w:uiPriority w:val="34"/>
    <w:qFormat w:val="1"/>
    <w:rsid w:val="000F5FFF"/>
    <w:pPr>
      <w:ind w:left="720"/>
      <w:contextualSpacing w:val="1"/>
    </w:p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character" w:styleId="Hyperlink">
    <w:name w:val="Hyperlink"/>
    <w:basedOn w:val="Fontepargpadro"/>
    <w:uiPriority w:val="99"/>
    <w:semiHidden w:val="1"/>
    <w:unhideWhenUsed w:val="1"/>
    <w:rsid w:val="00577ECA"/>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ritishcouncil.es/en/english/levels/b2" TargetMode="External"/><Relationship Id="rId8" Type="http://schemas.openxmlformats.org/officeDocument/2006/relationships/hyperlink" Target="http://meet.google.com/qyo-fdnn-eo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1yKWvmxGWp2u3P03J1JfjtMdeg==">AMUW2mWrpIXzBSZM5+DpXZEvbVOwY0MAs2E8ag8id213/UhxcruLlUDDK+yGQCa4ZYxcaG8jiyQQ0hmjNnZKisTj4LR9mWB0yVS3JqFIYGBHXZdK9sF/YS6Bwun19Q5lUCTHTEoyIX+Q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2020-10-08T11:24:00Z</dcterms:created>
  <dc:creator>ufflch</dc:creator>
</cp:coreProperties>
</file>