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7"/>
        <w:gridCol w:w="6945"/>
        <w:tblGridChange w:id="0">
          <w:tblGrid>
            <w:gridCol w:w="3687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Título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Preparatório para IELTS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Apresentação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prepara o aluno para a versão acadêmica do exame IELTS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International English Language Testing System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em suas quatro seções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reading, listening, writing, speaking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). O exame é requisito em vários processos seletivos para bolsas de estudo internacionais.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Docente Responsável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Luciana Carvalho Fonseca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Nº USP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3637340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Ministrante(s)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Priscila Mayumi Hayama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Público- alvo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USP em geral (alunos de graduação e pós-graduação, funcionários e docentes)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Carga horária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Modalidade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(x) Presencial     (  ) Semi-presencial      (  ) Aulas remotas síncronas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Período de 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semestre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Objetivos Gerais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Desenvolver as habilidades e os conhecimentos exigidos na versão acadêmica do exame IELTS-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International English Language Testing System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(compreensão e produção oral, compreensão e produção escrita).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Familiarizar os alunos com as características do exame na versão acadêmica; desenvolver estratégias de gestão do tempo e habilidades acadêmicas e linguísticas relevantes ao exame; praticar os diversos tipos de questão das quatro seções do exame em simulados.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Justificativa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Considerando-se que o exame IELTS frequentemente faz parte dos requisitos para a candidatura a bolsas de estudo internacionais e considerando-se também as iniciativas de internacionalização da Universidade de São Paulo, o curso preparatório para o IELTS pode facilitar o acesso de alunos, funcionários e docentes da universidade a vagas de estudo e pesquisa em instituições de ensino no exterior.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Conteúdo Programático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Características do IELTS: seções do exame na versão acadêmica, tipos de questões e gestão do tempo.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Leitura: inferência de vocabulário; informações e propósitos; síntese de ideias; localização de informações explícitas e implícitas; tipos de questões (múltipla escolha, frases e diagramas com lacunas, respostas curtas etc.).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Compreensão Oral: identificação de tópico principal e de detalhes; síntese de ideias; seleção de palavras para respostas semi-abertas; tipos de questões (múltipla escolha, resumos e diagramas com lacunas, ligação de itens etc.).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Produção oral: respostas breves sobre informações e preferências pessoais; respostas longas sobre um tema; discussão sobre temas abstratos, com uso de exemplos, análise e justificativas; planejamento e organização da produção; aprimoramento da pronúncia.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Redação: descrição de objetos e processos; comparação de dados; análise de diagramas; desenvolvimento de argumentos, análise de problemas e exposição de ideias; planejamento do texto; organização e produção de parágrafos de introdução, suporte e conclusão; revisão do texto.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Metodologia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Aulas expositivas, exercícios para prática com base em exames anteriores de IELTS, provas simuladas, estudo individual.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Realização de exercícios e provas simuladas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Critérios para aprovação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Frequência mínima de 75% e nota mínima 7,0.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Frequência mínima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Segunda-feira, 14:00-17:00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Número de vagas por turma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Pré-Requisitos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PRÉ-REQUISITOS LINGUÍSTICOS: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Nível intermediário a avançado em inglês.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será ministrado em língua inglesa. Os participantes deverão ter, aproximadamente, nível B2 (intermediário superior) de proficiência em língua inglesa, de acordo com o Quadro Europeu Comum de Referência para Línguas-CEFR, que corresponde às seguintes características: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B2 corresponds to independent users of the language, i.e. those who have the necessary fluency to communicate without effort with native speakers.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interact with a degree of fluency and spontaneity that makes regular interaction with native speakers quite possible without strain for either party.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produce clear, detailed text on a wide range of subjects and explain a viewpoint on a topical issue giving the advantages and disadvantages of various options.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(Fonte: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https://www.britishcouncil.es/en/english/levels/b2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Teste de Nível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Não haverá teste de nível. Ao se matricular no curso, o aluno entende que as aulas serão ministradas em língua inglesa e que ele deve atender aos requisitos linguísticos e técnicos descritos neste programa.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Antes do início das matrículas, será feita uma videoconferência entre a professora do curso e os interessados, em inglês, para apresentação do curso e esclarecimento de dúvidas. A participação nessa videoconferência é opcional, mas recomendada.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para videoconferência: a definir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Critérios para atribuição de vagas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Bibliografia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IELTS. Disponível em: www.ielts.org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LOUGHEED, Lin. Barron’s IELTS. 4 ed. Barron’s, New York, 2016.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McCARTER, Sam.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Direct to IELTS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Oxford, Macmillan, 2013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O’CONNEL, Sue.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Focus on IELTS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Harlow, Pearson, 2010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345"/>
              </w:tabs>
              <w:spacing w:befor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Informação Relevante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Arial Bl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cantSplit w:val="0"/>
        <w:trHeight w:val="1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4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5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6">
          <w:pPr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</w:rPr>
            <w:drawing>
              <wp:inline distB="0" distT="0" distL="0" distR="0">
                <wp:extent cx="1476375" cy="838200"/>
                <wp:effectExtent b="0" l="0" r="0" t="0"/>
                <wp:docPr descr="Descrição: D:\Downloads\Desde1991-CMYK (1).png" id="3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7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49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4A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2B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FE2B53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semiHidden w:val="1"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rpodetextoChar" w:customStyle="1">
    <w:name w:val="Corpo de texto Char"/>
    <w:link w:val="Corpodetexto"/>
    <w:semiHidden w:val="1"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BF1AB4"/>
    <w:pPr>
      <w:spacing w:after="120" w:line="480" w:lineRule="auto"/>
    </w:pPr>
  </w:style>
  <w:style w:type="character" w:styleId="Corpodetexto2Char" w:customStyle="1">
    <w:name w:val="Corpo de texto 2 Char"/>
    <w:link w:val="Corpodetexto2"/>
    <w:uiPriority w:val="99"/>
    <w:semiHidden w:val="1"/>
    <w:rsid w:val="00BF1AB4"/>
    <w:rPr>
      <w:rFonts w:eastAsia="Times New Roman"/>
      <w:sz w:val="22"/>
      <w:szCs w:val="22"/>
    </w:rPr>
  </w:style>
  <w:style w:type="character" w:styleId="Forte">
    <w:name w:val="Strong"/>
    <w:qFormat w:val="1"/>
    <w:rsid w:val="00BF1AB4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5F101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5F101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 w:val="1"/>
    <w:rsid w:val="00D6397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converted-space" w:customStyle="1">
    <w:name w:val="apple-converted-space"/>
    <w:rsid w:val="00D6397C"/>
  </w:style>
  <w:style w:type="paragraph" w:styleId="PargrafodaLista">
    <w:name w:val="List Paragraph"/>
    <w:basedOn w:val="Normal"/>
    <w:uiPriority w:val="34"/>
    <w:qFormat w:val="1"/>
    <w:rsid w:val="000F5FF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14305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itishcouncil.es/en/english/levels/b2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4pMQ/zmPCpzaQ9hRZ4Qe6EMog==">AMUW2mU9bRTN281MSqyBlwJ/EbDlM6B8yqtdH6pHeHeC+Bz9MZxcBvp1+/YSDFMRh2EA5KYG1Sy6K+DFVXSAv56Q8mSN/DtpHSGcg6iYXkWQ5y3Lykr0lWadcsCL257f/9UWhHwkR2wa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2019-05-08T17:10:00Z</dcterms:created>
  <dc:creator>ufflch</dc:creator>
</cp:coreProperties>
</file>