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Arial" w:cs="Arial" w:eastAsia="Arial" w:hAnsi="Arial"/>
          <w:b w:val="0"/>
          <w:i w:val="0"/>
          <w:sz w:val="36"/>
          <w:szCs w:val="3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36"/>
          <w:szCs w:val="36"/>
          <w:vertAlign w:val="baseline"/>
          <w:rtl w:val="0"/>
        </w:rPr>
        <w:t xml:space="preserve">Programa para os cursos 2º Semestre de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Arial" w:cs="Arial" w:eastAsia="Arial" w:hAnsi="Arial"/>
          <w:b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2.0" w:type="dxa"/>
        <w:jc w:val="left"/>
        <w:tblInd w:w="-8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28"/>
        <w:gridCol w:w="6804"/>
        <w:tblGridChange w:id="0">
          <w:tblGrid>
            <w:gridCol w:w="3828"/>
            <w:gridCol w:w="680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3">
            <w:pPr>
              <w:tabs>
                <w:tab w:val="left" w:pos="345"/>
              </w:tabs>
              <w:spacing w:befor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Título do Curso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spacing w:before="240" w:lineRule="auto"/>
              <w:jc w:val="both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Inglês para Leitura  – nível I  Turma 2 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(CURSO REMOTO) 2219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5">
            <w:pPr>
              <w:tabs>
                <w:tab w:val="left" w:pos="345"/>
              </w:tabs>
              <w:spacing w:befor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Apresentação do Curso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spacing w:before="24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535353"/>
                <w:sz w:val="24"/>
                <w:szCs w:val="24"/>
                <w:vertAlign w:val="baseline"/>
                <w:rtl w:val="0"/>
              </w:rPr>
              <w:t xml:space="preserve">A leitura em língua inglesa de textos acadêmicos e de divulgação científica é atualmente exigida nos programas de pós graduação e nos de graduação, de todas as áreas. Alunos de ambos os contextos deparam, cada vez mais cedo, com a necessidade de ler, resumir e refletir a respeito de conteúdos divulgados em revistas internacionais, capítulos de livros, periódicos acadêmicos, dissertações, sumários de teses, entre outras fontes. Além disso, o próprio ingresso na pós-graduação exige aprovação em exames de proficiência na habilidade de leitura.  Isso se deve ao fato de o avanço nas pesquisas só ser possível com o acesso a uma bibliografia sem tradução para a língua materna. Este curso busca atender à necessidade de desenvolver leitura em língua inglesa com o objetivo de auxiliar o aluno a alcançar os objetivos acima propostos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7">
            <w:pPr>
              <w:tabs>
                <w:tab w:val="left" w:pos="345"/>
              </w:tabs>
              <w:spacing w:befor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Docente Responsável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spacing w:before="240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Luciana Carvalho Fonseca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9">
            <w:pPr>
              <w:tabs>
                <w:tab w:val="left" w:pos="345"/>
              </w:tabs>
              <w:spacing w:befor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Nº USP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spacing w:before="240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3637340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B">
            <w:pPr>
              <w:tabs>
                <w:tab w:val="left" w:pos="345"/>
              </w:tabs>
              <w:spacing w:befor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Ministrante(s)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tabs>
                <w:tab w:val="left" w:pos="252"/>
              </w:tabs>
              <w:spacing w:befor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Nívia Maria Rodrigues Fernandes Marcello  No USP 1648602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D">
            <w:pPr>
              <w:tabs>
                <w:tab w:val="left" w:pos="345"/>
              </w:tabs>
              <w:spacing w:befor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Público- alvo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before="24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Alunos de graduação, pós-graduação, funcionários, docentes e,  caso sobrem vagas,  público externo.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F">
            <w:pPr>
              <w:tabs>
                <w:tab w:val="left" w:pos="345"/>
              </w:tabs>
              <w:spacing w:befor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Carga horária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before="24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42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1">
            <w:pPr>
              <w:tabs>
                <w:tab w:val="left" w:pos="345"/>
              </w:tabs>
              <w:spacing w:befor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Modalidade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before="24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yellow"/>
                <w:vertAlign w:val="baseline"/>
                <w:rtl w:val="0"/>
              </w:rPr>
              <w:t xml:space="preserve">Aulas síncronas, aulas de 90 minutos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3">
            <w:pPr>
              <w:tabs>
                <w:tab w:val="left" w:pos="345"/>
              </w:tabs>
              <w:spacing w:befor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Período de oferecimento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before="24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2º semestre de 2020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5">
            <w:pPr>
              <w:tabs>
                <w:tab w:val="left" w:pos="345"/>
              </w:tabs>
              <w:spacing w:befor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Objetivos Gerais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tabs>
                <w:tab w:val="left" w:pos="360"/>
              </w:tabs>
              <w:spacing w:after="0" w:line="240" w:lineRule="auto"/>
              <w:ind w:left="720" w:firstLine="0"/>
              <w:rPr>
                <w:rFonts w:ascii="Arial" w:cs="Arial" w:eastAsia="Arial" w:hAnsi="Arial"/>
                <w:color w:val="ff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Ao final deste curso, os alunos serão capazes de: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Selecionar informações de textos jornalísticos e científicos de acordo com o objetivo de leitura estabelecido.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Reconhecer e interpretar a organização do texto, tomando como base a estrutura pertinente a ele.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Inferir ou pesquisar significado de palavras desconhecidas.</w:t>
            </w:r>
          </w:p>
          <w:p w:rsidR="00000000" w:rsidDel="00000000" w:rsidP="00000000" w:rsidRDefault="00000000" w:rsidRPr="00000000" w14:paraId="0000001B">
            <w:pPr>
              <w:spacing w:after="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426" w:right="0" w:hanging="42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D">
            <w:pPr>
              <w:tabs>
                <w:tab w:val="left" w:pos="345"/>
              </w:tabs>
              <w:spacing w:befor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Objetivos Específicos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Interpretar textos extraídos de fontes diversas, tais como: revistas, periódicos, livros, teses, internet, base de dados eletrônicas, etc.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Praticar estratégias de leitura no nível de compreensão geral, pontos específicos  e detalhada.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Reconhecer os mecanismos de coesão e coerência textuais.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Identificar os tempos verbais presentes em textos de naturezas diferentes.</w:t>
            </w:r>
          </w:p>
          <w:p w:rsidR="00000000" w:rsidDel="00000000" w:rsidP="00000000" w:rsidRDefault="00000000" w:rsidRPr="00000000" w14:paraId="00000022">
            <w:pPr>
              <w:spacing w:before="24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3">
            <w:pPr>
              <w:tabs>
                <w:tab w:val="left" w:pos="345"/>
              </w:tabs>
              <w:spacing w:befor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Justificativa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A leitura em língua inglesa de textos acadêmicos e de divulgação científica é atualmente  exigida nos programas de pós graduação e nos de graduação, de todas as áreas. Alunos de ambos os contextos  deparam, cada vez mais cedo, com a necessidade de ler, resumir e refletir a respeito de conteúdos divulgados em revistas internacionais, capítulos de livros, periódicos acadêmicos,  dissertações, sumários de teses, entre outras fontes. Além disso, o  próprio ingresso na pós graduação exige aprovação em exames de proficiência na habilidade de leitura.  Isso se deve ao fato de o avanço nas pesquisas só ser possível com o acesso a uma bibliografia sem tradução para a língua materna. Este curso busca atender à necessidade de desenvolver leitura em língua inglesa com o objetivo de auxiliar o aluno a alcançar os objetivos acima propostos.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5">
            <w:pPr>
              <w:tabs>
                <w:tab w:val="left" w:pos="345"/>
              </w:tabs>
              <w:spacing w:after="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tabs>
                <w:tab w:val="left" w:pos="345"/>
              </w:tabs>
              <w:spacing w:after="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Conteúdo Programático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Conscientização do processo de leitura, visando à transferência de conhecimentos de L1 para L2.</w:t>
            </w:r>
          </w:p>
          <w:p w:rsidR="00000000" w:rsidDel="00000000" w:rsidP="00000000" w:rsidRDefault="00000000" w:rsidRPr="00000000" w14:paraId="00000028">
            <w:pPr>
              <w:spacing w:after="0" w:lineRule="auto"/>
              <w:ind w:left="720" w:firstLine="0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Prática de estratégias de leitura, entre elas: predição (antecipação de conteúdo), inferência, uso de palavras repetidas, uso de palavras-chave, uso do contexto imediato e global, uso de conhecimento prévio,   skimming e scanning..</w:t>
            </w:r>
          </w:p>
          <w:p w:rsidR="00000000" w:rsidDel="00000000" w:rsidP="00000000" w:rsidRDefault="00000000" w:rsidRPr="00000000" w14:paraId="0000002A">
            <w:pPr>
              <w:spacing w:after="0" w:lineRule="auto"/>
              <w:ind w:left="720" w:firstLine="0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Gramática aplicada a textos, a saber: a) compreensão e tradução de frases nominais; b) distinção entre as diferentes categorias gramaticais da palavra de acordo com o contexto; c) reconhecimento da estrutura da sentença; d) reconhecimento dos tempos verbais e suas respectivas noções; e) percepção dos diferentes marcadores do discurso e de suas respectivas funções retóricas; f) reconhecimento de marcas coesivas do texto (referência textual); g) reconhecimento da voz passiva; h) percepção das diferentes categorias gramaticais do sufixo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vertAlign w:val="baseline"/>
                <w:rtl w:val="0"/>
              </w:rPr>
              <w:t xml:space="preserve">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Ensino de vocabulário, enfocando: a) o uso de cognatos na leitura; b) a formação de palavras por afixos (prefixos e sufixos); c) o uso do dicionário e seleção das palavras de acordo com o contexto e suas funções gramaticais; d) a prática de inferência lexical na leitura.</w:t>
            </w:r>
          </w:p>
          <w:p w:rsidR="00000000" w:rsidDel="00000000" w:rsidP="00000000" w:rsidRDefault="00000000" w:rsidRPr="00000000" w14:paraId="0000002E">
            <w:pPr>
              <w:spacing w:after="0" w:lineRule="auto"/>
              <w:ind w:left="720" w:firstLine="0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Organização Textual: a) organização geral do texto; b) organização do parágrafo; c) compreensão das relações dentro dos parágrafos por meio de marcadores; d) a distinção entre ideias relevantes e irrelevantes; e) percepção da estrutura cronológica do texto; f) a estrutura organizacional de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vertAlign w:val="baseline"/>
                <w:rtl w:val="0"/>
              </w:rPr>
              <w:t xml:space="preserve">abstracts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1">
            <w:pPr>
              <w:tabs>
                <w:tab w:val="left" w:pos="345"/>
              </w:tabs>
              <w:spacing w:after="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tabs>
                <w:tab w:val="left" w:pos="345"/>
              </w:tabs>
              <w:spacing w:after="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Metodologia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Curso remoto com aulas síncronas de uma hora e meia, duas vezes por  semana, por meio das ferramentas Google Classroom e Google Meet. 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 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5">
            <w:pPr>
              <w:tabs>
                <w:tab w:val="left" w:pos="345"/>
              </w:tabs>
              <w:spacing w:befor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tabs>
                <w:tab w:val="left" w:pos="345"/>
              </w:tabs>
              <w:spacing w:befor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Avaliação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Provas escritas e individuais  e/ ou trabalhos escritos  individuais.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A">
            <w:pPr>
              <w:tabs>
                <w:tab w:val="left" w:pos="345"/>
              </w:tabs>
              <w:spacing w:befor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Critérios para aprovação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spacing w:after="0" w:line="240" w:lineRule="auto"/>
              <w:ind w:left="720" w:firstLine="0"/>
              <w:rPr>
                <w:rFonts w:ascii="Arial" w:cs="Arial" w:eastAsia="Arial" w:hAnsi="Arial"/>
                <w:color w:val="ff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240" w:lineRule="auto"/>
              <w:ind w:left="34" w:firstLine="0"/>
              <w:rPr>
                <w:rFonts w:ascii="Arial" w:cs="Arial" w:eastAsia="Arial" w:hAnsi="Arial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highlight w:val="yellow"/>
                <w:vertAlign w:val="baseline"/>
                <w:rtl w:val="0"/>
              </w:rPr>
              <w:t xml:space="preserve">Realização de ao menos 75% das atividades online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, e nota final mínima 7,0.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D">
            <w:pPr>
              <w:tabs>
                <w:tab w:val="left" w:pos="345"/>
              </w:tabs>
              <w:spacing w:befor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Frequência mínima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75% </w:t>
            </w:r>
          </w:p>
          <w:p w:rsidR="00000000" w:rsidDel="00000000" w:rsidP="00000000" w:rsidRDefault="00000000" w:rsidRPr="00000000" w14:paraId="0000003F">
            <w:pPr>
              <w:spacing w:before="24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0">
            <w:pPr>
              <w:tabs>
                <w:tab w:val="left" w:pos="345"/>
              </w:tabs>
              <w:spacing w:befor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Oferecimento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before="240" w:lineRule="auto"/>
              <w:jc w:val="both"/>
              <w:rPr>
                <w:rFonts w:ascii="Arial" w:cs="Arial" w:eastAsia="Arial" w:hAnsi="Arial"/>
                <w:sz w:val="24"/>
                <w:szCs w:val="24"/>
                <w:highlight w:val="yellow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vertAlign w:val="baseline"/>
                <w:rtl w:val="0"/>
              </w:rPr>
              <w:t xml:space="preserve">Turma 2 - professora Nívia Maria Rodrigues Fernandes Marcello</w:t>
            </w:r>
          </w:p>
          <w:p w:rsidR="00000000" w:rsidDel="00000000" w:rsidP="00000000" w:rsidRDefault="00000000" w:rsidRPr="00000000" w14:paraId="00000042">
            <w:pPr>
              <w:spacing w:before="24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vertAlign w:val="baseline"/>
                <w:rtl w:val="0"/>
              </w:rPr>
              <w:t xml:space="preserve">Terças e quintas-feiras,  encontros síncronos, das 12h às 13h30 horas.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3">
            <w:pPr>
              <w:tabs>
                <w:tab w:val="left" w:pos="345"/>
              </w:tabs>
              <w:spacing w:befor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Número de vagas por turma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spacing w:before="24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35 vagas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5">
            <w:pPr>
              <w:tabs>
                <w:tab w:val="left" w:pos="345"/>
              </w:tabs>
              <w:spacing w:befor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Pré-Requisitos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Arial" w:cs="Arial" w:eastAsia="Arial" w:hAnsi="Arial"/>
                <w:highlight w:val="yellow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vertAlign w:val="baseline"/>
                <w:rtl w:val="0"/>
              </w:rPr>
              <w:t xml:space="preserve">PRÉ-REQUISITOS TÉCNICOS: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Acesso à internet suficiente para participar de chamadas de vídeo;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Computador com câmera e microfone;</w:t>
            </w:r>
          </w:p>
          <w:p w:rsidR="00000000" w:rsidDel="00000000" w:rsidP="00000000" w:rsidRDefault="00000000" w:rsidRPr="00000000" w14:paraId="00000049">
            <w:pPr>
              <w:spacing w:before="240" w:lineRule="auto"/>
              <w:ind w:left="317" w:hanging="317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vertAlign w:val="baseline"/>
                <w:rtl w:val="0"/>
              </w:rPr>
              <w:t xml:space="preserve">E-mail USP ou Gmail para acesso ao Google Classroom e Google Meet.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before="240" w:lineRule="auto"/>
              <w:ind w:left="317" w:hanging="317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before="240" w:lineRule="auto"/>
              <w:ind w:left="317" w:hanging="317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C">
            <w:pPr>
              <w:tabs>
                <w:tab w:val="left" w:pos="345"/>
              </w:tabs>
              <w:spacing w:befor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Teste de Nível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before="24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Não há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E">
            <w:pPr>
              <w:tabs>
                <w:tab w:val="left" w:pos="345"/>
              </w:tabs>
              <w:spacing w:befor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Bibliografia Complementar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BRUSCHINI, R.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vertAlign w:val="baseline"/>
                <w:rtl w:val="0"/>
              </w:rPr>
              <w:t xml:space="preserve">Aumente seu Vocabulário em Inglês: Prefixos e Sufixos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.São Paulo: Disal, 2012.</w:t>
            </w:r>
          </w:p>
          <w:p w:rsidR="00000000" w:rsidDel="00000000" w:rsidP="00000000" w:rsidRDefault="00000000" w:rsidRPr="00000000" w14:paraId="00000050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CAMBRIDGE Dictionary of American English for speakers of Portuguese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São Paulo: WMF Martins Fontes, 2005.</w:t>
            </w:r>
          </w:p>
          <w:p w:rsidR="00000000" w:rsidDel="00000000" w:rsidP="00000000" w:rsidRDefault="00000000" w:rsidRPr="00000000" w14:paraId="00000051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FIORE, A. et al.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vertAlign w:val="baseline"/>
                <w:rtl w:val="0"/>
              </w:rPr>
              <w:t xml:space="preserve">Leitura em Língua Inglesa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. São Paulo: Disal, 2011.</w:t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MURPHY, Raymond.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vertAlign w:val="baseline"/>
                <w:rtl w:val="0"/>
              </w:rPr>
              <w:t xml:space="preserve">English Grammar in Use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. Cambridge University Press, 2010.</w:t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vertAlign w:val="baseline"/>
                <w:rtl w:val="0"/>
              </w:rPr>
              <w:t xml:space="preserve">PASSWORD English Dictionary for Speakers of Portuguese.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São Paulo, Martins Fontes, 2014.</w:t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RAPOPORT,J. Reading Academic English, 2010. Tel Aviv: The Mofet Institute, 2010.</w:t>
            </w:r>
          </w:p>
          <w:p w:rsidR="00000000" w:rsidDel="00000000" w:rsidP="00000000" w:rsidRDefault="00000000" w:rsidRPr="00000000" w14:paraId="00000055">
            <w:pPr>
              <w:spacing w:before="24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/>
      <w:pgMar w:bottom="1417" w:top="284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598.000000000002" w:type="dxa"/>
      <w:jc w:val="left"/>
      <w:tblInd w:w="-851.0" w:type="dxa"/>
      <w:tblLayout w:type="fixed"/>
      <w:tblLook w:val="0000"/>
    </w:tblPr>
    <w:tblGrid>
      <w:gridCol w:w="4236"/>
      <w:gridCol w:w="6362"/>
      <w:tblGridChange w:id="0">
        <w:tblGrid>
          <w:gridCol w:w="4236"/>
          <w:gridCol w:w="6362"/>
        </w:tblGrid>
      </w:tblGridChange>
    </w:tblGrid>
    <w:tr>
      <w:trPr>
        <w:trHeight w:val="160" w:hRule="atLeast"/>
      </w:trPr>
      <w:tc>
        <w:tcPr>
          <w:vAlign w:val="top"/>
        </w:tcPr>
        <w:p w:rsidR="00000000" w:rsidDel="00000000" w:rsidP="00000000" w:rsidRDefault="00000000" w:rsidRPr="00000000" w14:paraId="0000005B">
          <w:pPr>
            <w:tabs>
              <w:tab w:val="left" w:pos="1545"/>
            </w:tabs>
            <w:spacing w:after="0" w:line="240" w:lineRule="auto"/>
            <w:rPr>
              <w:rFonts w:ascii="Century Gothic" w:cs="Century Gothic" w:eastAsia="Century Gothic" w:hAnsi="Century Gothic"/>
              <w:b w:val="0"/>
              <w:color w:val="00206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5C">
          <w:pPr>
            <w:spacing w:after="0" w:line="240" w:lineRule="auto"/>
            <w:jc w:val="right"/>
            <w:rPr>
              <w:rFonts w:ascii="Century Gothic" w:cs="Century Gothic" w:eastAsia="Century Gothic" w:hAnsi="Century Gothic"/>
              <w:b w:val="0"/>
              <w:color w:val="00206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trHeight w:val="1400" w:hRule="atLeast"/>
      </w:trPr>
      <w:tc>
        <w:tcPr>
          <w:vAlign w:val="top"/>
        </w:tcPr>
        <w:p w:rsidR="00000000" w:rsidDel="00000000" w:rsidP="00000000" w:rsidRDefault="00000000" w:rsidRPr="00000000" w14:paraId="0000005D">
          <w:pPr>
            <w:spacing w:after="0" w:line="240" w:lineRule="auto"/>
            <w:rPr>
              <w:rFonts w:ascii="Century Gothic" w:cs="Century Gothic" w:eastAsia="Century Gothic" w:hAnsi="Century Gothic"/>
              <w:b w:val="0"/>
              <w:color w:val="002060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color w:val="535353"/>
              <w:sz w:val="21"/>
              <w:szCs w:val="21"/>
              <w:vertAlign w:val="baseline"/>
            </w:rPr>
            <w:drawing>
              <wp:inline distB="0" distT="0" distL="114300" distR="114300">
                <wp:extent cx="1476375" cy="836295"/>
                <wp:effectExtent b="0" l="0" r="0" t="0"/>
                <wp:docPr descr="Descrição: D:\Downloads\Desde1991-CMYK (1).png" id="1026" name="image1.png"/>
                <a:graphic>
                  <a:graphicData uri="http://schemas.openxmlformats.org/drawingml/2006/picture">
                    <pic:pic>
                      <pic:nvPicPr>
                        <pic:cNvPr descr="Descrição: D:\Downloads\Desde1991-CMYK (1)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75" cy="83629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5E">
          <w:pPr>
            <w:spacing w:after="0" w:line="240" w:lineRule="auto"/>
            <w:ind w:left="-851" w:firstLine="851"/>
            <w:jc w:val="right"/>
            <w:rPr>
              <w:rFonts w:ascii="Century Gothic" w:cs="Century Gothic" w:eastAsia="Century Gothic" w:hAnsi="Century Gothic"/>
              <w:b w:val="0"/>
              <w:color w:val="00206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F">
          <w:pPr>
            <w:spacing w:after="0" w:line="240" w:lineRule="auto"/>
            <w:ind w:left="-851" w:firstLine="851"/>
            <w:jc w:val="right"/>
            <w:rPr>
              <w:rFonts w:ascii="Century Gothic" w:cs="Century Gothic" w:eastAsia="Century Gothic" w:hAnsi="Century Gothic"/>
              <w:b w:val="0"/>
              <w:color w:val="002060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color w:val="002060"/>
              <w:vertAlign w:val="baseline"/>
              <w:rtl w:val="0"/>
            </w:rPr>
            <w:t xml:space="preserve">Universidade de São Paulo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0">
          <w:pPr>
            <w:spacing w:after="0" w:line="240" w:lineRule="auto"/>
            <w:ind w:left="-851" w:firstLine="851"/>
            <w:jc w:val="right"/>
            <w:rPr>
              <w:rFonts w:ascii="Century Gothic" w:cs="Century Gothic" w:eastAsia="Century Gothic" w:hAnsi="Century Gothic"/>
              <w:color w:val="002060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color w:val="002060"/>
              <w:vertAlign w:val="baseline"/>
              <w:rtl w:val="0"/>
            </w:rPr>
            <w:t xml:space="preserve">Faculdade de Filosofia, Letras e Ciências Humanas </w:t>
          </w:r>
          <w:r w:rsidDel="00000000" w:rsidR="00000000" w:rsidRPr="00000000">
            <w:rPr>
              <w:rFonts w:ascii="Century Gothic" w:cs="Century Gothic" w:eastAsia="Century Gothic" w:hAnsi="Century Gothic"/>
              <w:b w:val="1"/>
              <w:color w:val="002060"/>
              <w:sz w:val="16"/>
              <w:szCs w:val="16"/>
              <w:vertAlign w:val="baseline"/>
              <w:rtl w:val="0"/>
            </w:rPr>
            <w:br w:type="textWrapping"/>
          </w:r>
          <w:r w:rsidDel="00000000" w:rsidR="00000000" w:rsidRPr="00000000">
            <w:rPr>
              <w:rFonts w:ascii="Century Gothic" w:cs="Century Gothic" w:eastAsia="Century Gothic" w:hAnsi="Century Gothic"/>
              <w:color w:val="002060"/>
              <w:sz w:val="18"/>
              <w:szCs w:val="18"/>
              <w:vertAlign w:val="baseline"/>
              <w:rtl w:val="0"/>
            </w:rPr>
            <w:t xml:space="preserve">Av. Prof. Lineu Prestes nº 159 - CCJ - Sala 05 - CEP: 05508-000</w:t>
            <w:br w:type="textWrapping"/>
            <w:t xml:space="preserve">Cidade Universitária – São Paulo-SP</w:t>
          </w:r>
        </w:p>
        <w:p w:rsidR="00000000" w:rsidDel="00000000" w:rsidP="00000000" w:rsidRDefault="00000000" w:rsidRPr="00000000" w14:paraId="00000061">
          <w:pPr>
            <w:spacing w:after="0" w:line="240" w:lineRule="auto"/>
            <w:ind w:left="-851" w:firstLine="851"/>
            <w:jc w:val="right"/>
            <w:rPr>
              <w:rFonts w:ascii="Century Gothic" w:cs="Century Gothic" w:eastAsia="Century Gothic" w:hAnsi="Century Gothic"/>
              <w:color w:val="002060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2060"/>
              <w:sz w:val="18"/>
              <w:szCs w:val="18"/>
              <w:vertAlign w:val="baseline"/>
              <w:rtl w:val="0"/>
            </w:rPr>
            <w:t xml:space="preserve">Tel: 3091.2417  –  site: www.clinguas.fflch.usp.br </w:t>
          </w:r>
        </w:p>
      </w:tc>
    </w:tr>
  </w:tbl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ja-JP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120" w:before="480" w:line="276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48"/>
      <w:szCs w:val="48"/>
      <w:effect w:val="none"/>
      <w:vertAlign w:val="baseline"/>
      <w:cs w:val="0"/>
      <w:em w:val="none"/>
      <w:lang w:bidi="ar-SA" w:eastAsia="ja-JP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80" w:before="360" w:line="276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ja-JP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80" w:before="280" w:line="276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ja-JP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40" w:before="240" w:line="276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ja-JP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40" w:before="220" w:line="276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ja-JP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40" w:before="200" w:line="276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ja-JP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ja-JP" w:val="pt-BR"/>
    </w:rPr>
    <w:tblPr>
      <w:tblStyle w:val="TableNormal"/>
      <w:jc w:val="left"/>
    </w:tblPr>
  </w:style>
  <w:style w:type="paragraph" w:styleId="Título">
    <w:name w:val="Título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120" w:before="480" w:line="276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72"/>
      <w:szCs w:val="72"/>
      <w:effect w:val="none"/>
      <w:vertAlign w:val="baseline"/>
      <w:cs w:val="0"/>
      <w:em w:val="none"/>
      <w:lang w:bidi="ar-SA" w:eastAsia="ja-JP" w:val="pt-BR"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80" w:before="360" w:line="276" w:lineRule="auto"/>
      <w:ind w:leftChars="-1" w:rightChars="0" w:firstLineChars="-1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ar-SA" w:eastAsia="ja-JP" w:val="pt-BR"/>
    </w:rPr>
  </w:style>
  <w:style w:type="table" w:styleId="0">
    <w:name w:val=""/>
    <w:basedOn w:val="TableNormal"/>
    <w:next w:val="0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ja-JP" w:val="pt-BR"/>
    </w:rPr>
    <w:tblPr>
      <w:tblStyle w:val="0"/>
      <w:tblStyleRowBandSize w:val="1"/>
      <w:tblStyleColBandSize w:val="1"/>
      <w:jc w:val="left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">
    <w:name w:val=""/>
    <w:basedOn w:val="TableNormal"/>
    <w:next w:val="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ja-JP" w:val="pt-BR"/>
    </w:rPr>
    <w:tblPr>
      <w:tblStyle w:val=""/>
      <w:tblStyleRowBandSize w:val="1"/>
      <w:tblStyleColBandSize w:val="1"/>
      <w:jc w:val="left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ja-JP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ja-JP" w:val="und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Times New Roman" w:cs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und" w:val="und"/>
    </w:rPr>
  </w:style>
  <w:style w:type="paragraph" w:styleId="Lista2">
    <w:name w:val="Lista 2"/>
    <w:basedOn w:val="Normal"/>
    <w:next w:val="Lista2"/>
    <w:autoRedefine w:val="0"/>
    <w:hidden w:val="0"/>
    <w:qFormat w:val="0"/>
    <w:pPr>
      <w:suppressAutoHyphens w:val="1"/>
      <w:spacing w:after="0" w:line="240" w:lineRule="auto"/>
      <w:ind w:left="566" w:leftChars="-1" w:rightChars="0" w:hanging="283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ja-JP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ja-JP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BiiUBxUVfLgWRsmhh/WBD/XqGQ==">AMUW2mVakQjqLR2gs3KvxIpDErajL7PWQapEMPQRAxoDtuE5l7R6E3U3RSQEFq2Iux1zCATOO2DotV9GzJiksktEr4VIh5z5LxSF2UP+fAmeGQjlAbc/hoU=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2019-10-16T16:12:00Z</dcterms:created>
  <dc:creator>Eliane Vaz do Nascimento</dc:creator>
</cp:coreProperties>
</file>